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64" w:rsidRPr="00A743E2" w:rsidRDefault="00F37B76" w:rsidP="006D6432">
      <w:pPr>
        <w:ind w:left="708" w:firstLine="708"/>
        <w:jc w:val="center"/>
        <w:rPr>
          <w:b/>
          <w:color w:val="005493"/>
          <w:sz w:val="32"/>
        </w:rPr>
      </w:pPr>
      <w:r w:rsidRPr="00A743E2">
        <w:rPr>
          <w:b/>
          <w:color w:val="005493"/>
          <w:sz w:val="32"/>
        </w:rPr>
        <w:t>Protocoles d’imagerie thoracique</w:t>
      </w:r>
    </w:p>
    <w:p w:rsidR="00FF1608" w:rsidRPr="00FF1608" w:rsidRDefault="00FF1608" w:rsidP="006D6432">
      <w:pPr>
        <w:ind w:left="708" w:firstLine="708"/>
        <w:jc w:val="center"/>
        <w:rPr>
          <w:b/>
          <w:color w:val="005493"/>
        </w:rPr>
      </w:pPr>
    </w:p>
    <w:p w:rsidR="009B0C62" w:rsidRPr="009B0C62" w:rsidRDefault="009B0C62" w:rsidP="009B0C62">
      <w:pPr>
        <w:jc w:val="center"/>
        <w:rPr>
          <w:b/>
          <w:bCs/>
          <w:color w:val="002060"/>
          <w:sz w:val="32"/>
          <w:szCs w:val="44"/>
        </w:rPr>
      </w:pPr>
      <w:r w:rsidRPr="009B0C62">
        <w:rPr>
          <w:b/>
          <w:bCs/>
          <w:color w:val="002060"/>
          <w:sz w:val="32"/>
          <w:szCs w:val="44"/>
        </w:rPr>
        <w:t>PONCTION TRANSTHORACIQUE GUIDÉE PAR SCANNER A VISÉE DIAGNOSTIQUE</w:t>
      </w:r>
    </w:p>
    <w:p w:rsidR="009B0C62" w:rsidRPr="009B0C62" w:rsidRDefault="009B0C62" w:rsidP="009B0C62">
      <w:pPr>
        <w:jc w:val="center"/>
        <w:rPr>
          <w:szCs w:val="36"/>
        </w:rPr>
      </w:pPr>
    </w:p>
    <w:p w:rsidR="00016CA2" w:rsidRPr="00016CA2" w:rsidRDefault="00016CA2" w:rsidP="00016CA2">
      <w:pPr>
        <w:rPr>
          <w:b/>
          <w:bCs/>
          <w:color w:val="002060"/>
          <w:szCs w:val="36"/>
        </w:rPr>
      </w:pPr>
      <w:r w:rsidRPr="00016CA2">
        <w:rPr>
          <w:b/>
          <w:bCs/>
          <w:color w:val="002060"/>
          <w:szCs w:val="36"/>
        </w:rPr>
        <w:t xml:space="preserve">INTRODUCTION : </w:t>
      </w:r>
    </w:p>
    <w:p w:rsidR="00016CA2" w:rsidRPr="00016CA2" w:rsidRDefault="00016CA2" w:rsidP="00016CA2">
      <w:pPr>
        <w:pStyle w:val="Paragraphedeliste"/>
        <w:numPr>
          <w:ilvl w:val="0"/>
          <w:numId w:val="1"/>
        </w:numPr>
        <w:rPr>
          <w:szCs w:val="36"/>
        </w:rPr>
      </w:pPr>
      <w:r w:rsidRPr="00016CA2">
        <w:rPr>
          <w:szCs w:val="36"/>
        </w:rPr>
        <w:t>L’indication de la ponction a été prise en RCP ou au minimum par entente entre le radiologue et le clinicien</w:t>
      </w:r>
    </w:p>
    <w:p w:rsidR="00016CA2" w:rsidRPr="00016CA2" w:rsidRDefault="00016CA2" w:rsidP="00016CA2">
      <w:pPr>
        <w:pStyle w:val="Paragraphedeliste"/>
        <w:numPr>
          <w:ilvl w:val="0"/>
          <w:numId w:val="1"/>
        </w:numPr>
        <w:rPr>
          <w:szCs w:val="36"/>
        </w:rPr>
      </w:pPr>
      <w:r w:rsidRPr="00016CA2">
        <w:rPr>
          <w:szCs w:val="36"/>
        </w:rPr>
        <w:t xml:space="preserve">Une hypertension pulmonaire est une CI à la ponction </w:t>
      </w:r>
      <w:proofErr w:type="spellStart"/>
      <w:r w:rsidRPr="00016CA2">
        <w:rPr>
          <w:szCs w:val="36"/>
        </w:rPr>
        <w:t>transthoracique</w:t>
      </w:r>
      <w:proofErr w:type="spellEnd"/>
    </w:p>
    <w:p w:rsidR="00016CA2" w:rsidRPr="00016CA2" w:rsidRDefault="00016CA2" w:rsidP="00016CA2">
      <w:pPr>
        <w:pStyle w:val="Paragraphedeliste"/>
        <w:numPr>
          <w:ilvl w:val="0"/>
          <w:numId w:val="1"/>
        </w:numPr>
        <w:rPr>
          <w:szCs w:val="36"/>
        </w:rPr>
      </w:pPr>
      <w:r w:rsidRPr="00016CA2">
        <w:rPr>
          <w:szCs w:val="36"/>
        </w:rPr>
        <w:t>Si poumon unique : la plus grande prudence s’impose</w:t>
      </w:r>
    </w:p>
    <w:p w:rsidR="00016CA2" w:rsidRPr="00016CA2" w:rsidRDefault="00016CA2" w:rsidP="00016CA2">
      <w:pPr>
        <w:rPr>
          <w:szCs w:val="36"/>
        </w:rPr>
      </w:pPr>
    </w:p>
    <w:p w:rsidR="00016CA2" w:rsidRPr="00016CA2" w:rsidRDefault="00016CA2" w:rsidP="00016CA2">
      <w:pPr>
        <w:rPr>
          <w:b/>
          <w:bCs/>
          <w:color w:val="002060"/>
          <w:szCs w:val="36"/>
        </w:rPr>
      </w:pPr>
      <w:r w:rsidRPr="00016CA2">
        <w:rPr>
          <w:b/>
          <w:bCs/>
          <w:color w:val="002060"/>
          <w:szCs w:val="36"/>
        </w:rPr>
        <w:t>TECHNIQUES :</w:t>
      </w:r>
    </w:p>
    <w:p w:rsidR="00016CA2" w:rsidRPr="00016CA2" w:rsidRDefault="00016CA2" w:rsidP="00016CA2">
      <w:pPr>
        <w:pStyle w:val="Paragraphedeliste"/>
        <w:numPr>
          <w:ilvl w:val="0"/>
          <w:numId w:val="1"/>
        </w:numPr>
        <w:rPr>
          <w:szCs w:val="36"/>
        </w:rPr>
      </w:pPr>
      <w:r w:rsidRPr="00016CA2">
        <w:rPr>
          <w:b/>
          <w:bCs/>
          <w:i/>
          <w:iCs/>
          <w:szCs w:val="36"/>
        </w:rPr>
        <w:t>Préparation</w:t>
      </w:r>
      <w:r w:rsidRPr="00016CA2">
        <w:rPr>
          <w:szCs w:val="36"/>
        </w:rPr>
        <w:t xml:space="preserve"> : </w:t>
      </w:r>
    </w:p>
    <w:p w:rsidR="00016CA2" w:rsidRPr="00016CA2" w:rsidRDefault="00016CA2" w:rsidP="00016CA2">
      <w:pPr>
        <w:pStyle w:val="Paragraphedeliste"/>
        <w:numPr>
          <w:ilvl w:val="0"/>
          <w:numId w:val="8"/>
        </w:numPr>
        <w:rPr>
          <w:szCs w:val="36"/>
        </w:rPr>
      </w:pPr>
      <w:r w:rsidRPr="00016CA2">
        <w:rPr>
          <w:szCs w:val="36"/>
        </w:rPr>
        <w:t xml:space="preserve">Vérifier l’arrêt ou le relais du traitement anticoagulant en concertation avec le médecin prescripteur (héparine arrêtée depuis 4 heures, AVK relayé par de l’héparine). Ponction possible sous </w:t>
      </w:r>
      <w:proofErr w:type="spellStart"/>
      <w:r w:rsidRPr="00016CA2">
        <w:rPr>
          <w:szCs w:val="36"/>
        </w:rPr>
        <w:t>Kardegic</w:t>
      </w:r>
      <w:bookmarkStart w:id="0" w:name="_GoBack"/>
      <w:bookmarkEnd w:id="0"/>
      <w:proofErr w:type="spellEnd"/>
    </w:p>
    <w:p w:rsidR="00016CA2" w:rsidRPr="00016CA2" w:rsidRDefault="00016CA2" w:rsidP="00016CA2">
      <w:pPr>
        <w:pStyle w:val="Paragraphedeliste"/>
        <w:numPr>
          <w:ilvl w:val="0"/>
          <w:numId w:val="8"/>
        </w:numPr>
        <w:rPr>
          <w:szCs w:val="36"/>
        </w:rPr>
      </w:pPr>
      <w:r w:rsidRPr="00016CA2">
        <w:rPr>
          <w:szCs w:val="36"/>
        </w:rPr>
        <w:t>Vérifier l’hémostase</w:t>
      </w:r>
    </w:p>
    <w:p w:rsidR="00016CA2" w:rsidRPr="00016CA2" w:rsidRDefault="00016CA2" w:rsidP="00016CA2">
      <w:pPr>
        <w:pStyle w:val="Paragraphedeliste"/>
        <w:numPr>
          <w:ilvl w:val="0"/>
          <w:numId w:val="8"/>
        </w:numPr>
        <w:rPr>
          <w:szCs w:val="36"/>
        </w:rPr>
      </w:pPr>
      <w:r w:rsidRPr="00016CA2">
        <w:rPr>
          <w:szCs w:val="36"/>
        </w:rPr>
        <w:t xml:space="preserve">Prémédication conseillée : Perfalgan IV </w:t>
      </w:r>
      <w:proofErr w:type="gramStart"/>
      <w:r w:rsidRPr="00016CA2">
        <w:rPr>
          <w:szCs w:val="36"/>
        </w:rPr>
        <w:t>1g</w:t>
      </w:r>
      <w:proofErr w:type="gramEnd"/>
      <w:r w:rsidRPr="00016CA2">
        <w:rPr>
          <w:szCs w:val="36"/>
        </w:rPr>
        <w:t xml:space="preserve"> 1 heure avant le geste</w:t>
      </w:r>
    </w:p>
    <w:p w:rsidR="00016CA2" w:rsidRPr="00016CA2" w:rsidRDefault="00016CA2" w:rsidP="00016CA2">
      <w:pPr>
        <w:pStyle w:val="Paragraphedeliste"/>
        <w:numPr>
          <w:ilvl w:val="0"/>
          <w:numId w:val="8"/>
        </w:numPr>
        <w:rPr>
          <w:szCs w:val="36"/>
        </w:rPr>
      </w:pPr>
      <w:r w:rsidRPr="00016CA2">
        <w:rPr>
          <w:szCs w:val="36"/>
        </w:rPr>
        <w:t>Patient amené au scanner en lit</w:t>
      </w:r>
    </w:p>
    <w:p w:rsidR="00016CA2" w:rsidRPr="00016CA2" w:rsidRDefault="00016CA2" w:rsidP="00016CA2">
      <w:pPr>
        <w:pStyle w:val="Paragraphedeliste"/>
        <w:numPr>
          <w:ilvl w:val="0"/>
          <w:numId w:val="8"/>
        </w:numPr>
        <w:rPr>
          <w:szCs w:val="36"/>
        </w:rPr>
      </w:pPr>
      <w:r w:rsidRPr="00016CA2">
        <w:rPr>
          <w:szCs w:val="36"/>
        </w:rPr>
        <w:t>VVP, scope pour surveillance des paramètres (saturation ++)</w:t>
      </w:r>
    </w:p>
    <w:p w:rsidR="00016CA2" w:rsidRPr="00016CA2" w:rsidRDefault="00016CA2" w:rsidP="00016CA2">
      <w:pPr>
        <w:pStyle w:val="Paragraphedeliste"/>
        <w:numPr>
          <w:ilvl w:val="0"/>
          <w:numId w:val="8"/>
        </w:numPr>
        <w:rPr>
          <w:szCs w:val="36"/>
        </w:rPr>
      </w:pPr>
      <w:r w:rsidRPr="00016CA2">
        <w:rPr>
          <w:szCs w:val="36"/>
        </w:rPr>
        <w:t>S’assurer de la présence de matériel de réanimation au scanner (drain pleural à proximité)</w:t>
      </w:r>
    </w:p>
    <w:p w:rsidR="00016CA2" w:rsidRPr="00016CA2" w:rsidRDefault="00016CA2" w:rsidP="00016CA2">
      <w:pPr>
        <w:ind w:left="431"/>
        <w:rPr>
          <w:szCs w:val="36"/>
        </w:rPr>
      </w:pPr>
    </w:p>
    <w:p w:rsidR="00016CA2" w:rsidRPr="00016CA2" w:rsidRDefault="00016CA2" w:rsidP="00016CA2">
      <w:pPr>
        <w:pStyle w:val="Paragraphedeliste"/>
        <w:numPr>
          <w:ilvl w:val="0"/>
          <w:numId w:val="1"/>
        </w:numPr>
        <w:rPr>
          <w:szCs w:val="36"/>
        </w:rPr>
      </w:pPr>
      <w:r w:rsidRPr="00016CA2">
        <w:rPr>
          <w:b/>
          <w:bCs/>
          <w:i/>
          <w:iCs/>
          <w:szCs w:val="36"/>
        </w:rPr>
        <w:t>Positionnement et acquisition</w:t>
      </w:r>
      <w:r w:rsidRPr="00016CA2">
        <w:rPr>
          <w:szCs w:val="36"/>
        </w:rPr>
        <w:t xml:space="preserve"> : </w:t>
      </w:r>
    </w:p>
    <w:p w:rsidR="00016CA2" w:rsidRPr="00016CA2" w:rsidRDefault="00016CA2" w:rsidP="00016CA2">
      <w:pPr>
        <w:pStyle w:val="Paragraphedeliste"/>
        <w:numPr>
          <w:ilvl w:val="0"/>
          <w:numId w:val="7"/>
        </w:numPr>
        <w:rPr>
          <w:szCs w:val="36"/>
        </w:rPr>
      </w:pPr>
      <w:r w:rsidRPr="00016CA2">
        <w:rPr>
          <w:szCs w:val="36"/>
        </w:rPr>
        <w:t>Positionnement du patient en fonction de la voie d’abord (le patient a eu au préalable un scanner thoracique avec ou sans injection pour repérer la cible, prévoir les difficultés et la voie d’abord)</w:t>
      </w:r>
    </w:p>
    <w:p w:rsidR="00016CA2" w:rsidRPr="00016CA2" w:rsidRDefault="00016CA2" w:rsidP="00016CA2">
      <w:pPr>
        <w:pStyle w:val="Paragraphedeliste"/>
        <w:numPr>
          <w:ilvl w:val="0"/>
          <w:numId w:val="7"/>
        </w:numPr>
        <w:rPr>
          <w:szCs w:val="36"/>
        </w:rPr>
      </w:pPr>
      <w:r w:rsidRPr="00016CA2">
        <w:rPr>
          <w:szCs w:val="36"/>
        </w:rPr>
        <w:t>Scanner de repérage de la cible avec ou sans injection en respiration lente</w:t>
      </w:r>
    </w:p>
    <w:p w:rsidR="00016CA2" w:rsidRPr="00016CA2" w:rsidRDefault="00016CA2" w:rsidP="00016CA2">
      <w:pPr>
        <w:pStyle w:val="Paragraphedeliste"/>
        <w:numPr>
          <w:ilvl w:val="0"/>
          <w:numId w:val="7"/>
        </w:numPr>
        <w:rPr>
          <w:szCs w:val="36"/>
        </w:rPr>
      </w:pPr>
      <w:r w:rsidRPr="00016CA2">
        <w:rPr>
          <w:szCs w:val="36"/>
        </w:rPr>
        <w:t>Coupes axiales ou courte hélice basse dose dépassant la cible de part et d’autre. On répétera ces repérages jusqu’à ce que la cible soit atteinte</w:t>
      </w:r>
    </w:p>
    <w:p w:rsidR="00016CA2" w:rsidRPr="00016CA2" w:rsidRDefault="00016CA2" w:rsidP="00016CA2">
      <w:pPr>
        <w:pStyle w:val="Paragraphedeliste"/>
        <w:numPr>
          <w:ilvl w:val="0"/>
          <w:numId w:val="7"/>
        </w:numPr>
        <w:rPr>
          <w:szCs w:val="36"/>
        </w:rPr>
      </w:pPr>
      <w:r w:rsidRPr="00016CA2">
        <w:rPr>
          <w:szCs w:val="36"/>
        </w:rPr>
        <w:t>Le repérage du point d’entrée cutané sera fait à la peau du patient (laser, trombone…)</w:t>
      </w:r>
    </w:p>
    <w:p w:rsidR="00016CA2" w:rsidRPr="00016CA2" w:rsidRDefault="00016CA2" w:rsidP="00016CA2">
      <w:pPr>
        <w:pStyle w:val="Paragraphedeliste"/>
        <w:ind w:left="791"/>
        <w:rPr>
          <w:szCs w:val="36"/>
        </w:rPr>
      </w:pPr>
    </w:p>
    <w:p w:rsidR="00016CA2" w:rsidRPr="00016CA2" w:rsidRDefault="00016CA2" w:rsidP="00016CA2">
      <w:pPr>
        <w:pStyle w:val="Paragraphedeliste"/>
        <w:numPr>
          <w:ilvl w:val="0"/>
          <w:numId w:val="1"/>
        </w:numPr>
        <w:rPr>
          <w:szCs w:val="36"/>
        </w:rPr>
      </w:pPr>
      <w:r w:rsidRPr="00016CA2">
        <w:rPr>
          <w:b/>
          <w:bCs/>
          <w:i/>
          <w:iCs/>
          <w:szCs w:val="36"/>
        </w:rPr>
        <w:t>Geste de ponction</w:t>
      </w:r>
      <w:r w:rsidRPr="00016CA2">
        <w:rPr>
          <w:szCs w:val="36"/>
        </w:rPr>
        <w:t xml:space="preserve"> : </w:t>
      </w:r>
    </w:p>
    <w:p w:rsidR="00016CA2" w:rsidRPr="00016CA2" w:rsidRDefault="00016CA2" w:rsidP="00016CA2">
      <w:pPr>
        <w:pStyle w:val="Paragraphedeliste"/>
        <w:numPr>
          <w:ilvl w:val="0"/>
          <w:numId w:val="2"/>
        </w:numPr>
        <w:rPr>
          <w:szCs w:val="36"/>
        </w:rPr>
      </w:pPr>
      <w:r w:rsidRPr="00016CA2">
        <w:rPr>
          <w:szCs w:val="36"/>
        </w:rPr>
        <w:t>Soit avec la scopie scanner soit en répétant l’acquisition de repérage</w:t>
      </w:r>
    </w:p>
    <w:p w:rsidR="00016CA2" w:rsidRPr="00016CA2" w:rsidRDefault="00016CA2" w:rsidP="00016CA2">
      <w:pPr>
        <w:pStyle w:val="NormalWeb"/>
        <w:numPr>
          <w:ilvl w:val="0"/>
          <w:numId w:val="2"/>
        </w:numPr>
        <w:rPr>
          <w:rFonts w:asciiTheme="minorHAnsi" w:hAnsiTheme="minorHAnsi"/>
          <w:szCs w:val="36"/>
        </w:rPr>
      </w:pPr>
      <w:r w:rsidRPr="00016CA2">
        <w:rPr>
          <w:rFonts w:asciiTheme="minorHAnsi" w:hAnsiTheme="minorHAnsi"/>
          <w:szCs w:val="36"/>
        </w:rPr>
        <w:t>Mesures d’asepsie rigoureuses</w:t>
      </w:r>
    </w:p>
    <w:p w:rsidR="00016CA2" w:rsidRPr="00016CA2" w:rsidRDefault="00016CA2" w:rsidP="00016CA2">
      <w:pPr>
        <w:pStyle w:val="NormalWeb"/>
        <w:numPr>
          <w:ilvl w:val="0"/>
          <w:numId w:val="2"/>
        </w:numPr>
        <w:rPr>
          <w:rFonts w:asciiTheme="minorHAnsi" w:hAnsiTheme="minorHAnsi"/>
          <w:szCs w:val="36"/>
        </w:rPr>
      </w:pPr>
      <w:r w:rsidRPr="00016CA2">
        <w:rPr>
          <w:rFonts w:asciiTheme="minorHAnsi" w:hAnsiTheme="minorHAnsi"/>
          <w:szCs w:val="36"/>
        </w:rPr>
        <w:t>Anesthésie locale à la Xylocaïne</w:t>
      </w:r>
      <w:r w:rsidRPr="00016CA2">
        <w:rPr>
          <w:rFonts w:asciiTheme="minorHAnsi" w:hAnsiTheme="minorHAnsi"/>
          <w:position w:val="8"/>
          <w:szCs w:val="36"/>
        </w:rPr>
        <w:t xml:space="preserve"> </w:t>
      </w:r>
      <w:r w:rsidRPr="00016CA2">
        <w:rPr>
          <w:rFonts w:asciiTheme="minorHAnsi" w:hAnsiTheme="minorHAnsi"/>
          <w:szCs w:val="36"/>
        </w:rPr>
        <w:t>jusqu’</w:t>
      </w:r>
      <w:proofErr w:type="spellStart"/>
      <w:r w:rsidRPr="00016CA2">
        <w:rPr>
          <w:rFonts w:asciiTheme="minorHAnsi" w:hAnsiTheme="minorHAnsi"/>
          <w:szCs w:val="36"/>
        </w:rPr>
        <w:t>a</w:t>
      </w:r>
      <w:proofErr w:type="spellEnd"/>
      <w:r w:rsidRPr="00016CA2">
        <w:rPr>
          <w:rFonts w:asciiTheme="minorHAnsi" w:hAnsiTheme="minorHAnsi"/>
          <w:szCs w:val="36"/>
        </w:rPr>
        <w:t>̀ la plèvre</w:t>
      </w:r>
    </w:p>
    <w:p w:rsidR="00016CA2" w:rsidRPr="00016CA2" w:rsidRDefault="00016CA2" w:rsidP="00016CA2">
      <w:pPr>
        <w:pStyle w:val="NormalWeb"/>
        <w:numPr>
          <w:ilvl w:val="0"/>
          <w:numId w:val="2"/>
        </w:numPr>
        <w:rPr>
          <w:rFonts w:asciiTheme="minorHAnsi" w:hAnsiTheme="minorHAnsi"/>
          <w:szCs w:val="36"/>
        </w:rPr>
      </w:pPr>
      <w:r w:rsidRPr="00016CA2">
        <w:rPr>
          <w:rFonts w:asciiTheme="minorHAnsi" w:hAnsiTheme="minorHAnsi"/>
          <w:szCs w:val="36"/>
        </w:rPr>
        <w:t xml:space="preserve">Mise en place de l’aiguille à biopsie (18 à 20 G). Contrôle de son bon positionnement en repérant son extrémité́. Dans certains cas, une injection IV de produit de contraste peut être utile. </w:t>
      </w:r>
    </w:p>
    <w:p w:rsidR="00016CA2" w:rsidRPr="00016CA2" w:rsidRDefault="00016CA2" w:rsidP="00016CA2">
      <w:pPr>
        <w:pStyle w:val="NormalWeb"/>
        <w:numPr>
          <w:ilvl w:val="0"/>
          <w:numId w:val="2"/>
        </w:numPr>
        <w:rPr>
          <w:rFonts w:asciiTheme="minorHAnsi" w:hAnsiTheme="minorHAnsi"/>
          <w:szCs w:val="36"/>
        </w:rPr>
      </w:pPr>
      <w:r w:rsidRPr="00016CA2">
        <w:rPr>
          <w:rFonts w:ascii="Calibri" w:hAnsi="Calibri"/>
          <w:szCs w:val="36"/>
        </w:rPr>
        <w:t>Les prélèvements sont réalisés lorsque l’aiguille est en bonne position. Si des prélèvements multiples sont nécessaires, utiliser des aiguilles coaxiales adaptées ; s’efforcer de ne pas laisser entrer d’air aux changements d’aiguilles et ne jamais laisser l’aiguille porteuse sans que l’embase en soit occluse par le mandrin</w:t>
      </w:r>
    </w:p>
    <w:p w:rsidR="00016CA2" w:rsidRPr="00016CA2" w:rsidRDefault="00016CA2" w:rsidP="00016CA2">
      <w:pPr>
        <w:pStyle w:val="NormalWeb"/>
        <w:numPr>
          <w:ilvl w:val="0"/>
          <w:numId w:val="2"/>
        </w:numPr>
        <w:rPr>
          <w:rFonts w:asciiTheme="minorHAnsi" w:hAnsiTheme="minorHAnsi"/>
          <w:szCs w:val="36"/>
        </w:rPr>
      </w:pPr>
      <w:r w:rsidRPr="00016CA2">
        <w:rPr>
          <w:rFonts w:ascii="Calibri" w:hAnsi="Calibri"/>
          <w:szCs w:val="36"/>
        </w:rPr>
        <w:t>Friction du point de ponction après retrait de l’aiguille</w:t>
      </w:r>
    </w:p>
    <w:p w:rsidR="00016CA2" w:rsidRPr="00016CA2" w:rsidRDefault="00016CA2" w:rsidP="00016CA2">
      <w:pPr>
        <w:pStyle w:val="NormalWeb"/>
        <w:numPr>
          <w:ilvl w:val="0"/>
          <w:numId w:val="2"/>
        </w:numPr>
        <w:rPr>
          <w:rFonts w:asciiTheme="minorHAnsi" w:hAnsiTheme="minorHAnsi"/>
          <w:szCs w:val="36"/>
        </w:rPr>
      </w:pPr>
      <w:r w:rsidRPr="00016CA2">
        <w:rPr>
          <w:rFonts w:ascii="Calibri" w:hAnsi="Calibri"/>
          <w:szCs w:val="36"/>
        </w:rPr>
        <w:t>Acquisition de contrôle après retrait de l’aiguille : éliminer un pneumothorax et/ou une hémorragie alvéolaire</w:t>
      </w:r>
    </w:p>
    <w:p w:rsidR="00016CA2" w:rsidRPr="00016CA2" w:rsidRDefault="00016CA2" w:rsidP="00016CA2">
      <w:pPr>
        <w:pStyle w:val="Paragraphedeliste"/>
        <w:numPr>
          <w:ilvl w:val="0"/>
          <w:numId w:val="1"/>
        </w:numPr>
        <w:rPr>
          <w:szCs w:val="36"/>
        </w:rPr>
      </w:pPr>
      <w:r w:rsidRPr="00016CA2">
        <w:rPr>
          <w:b/>
          <w:bCs/>
          <w:i/>
          <w:iCs/>
          <w:szCs w:val="36"/>
        </w:rPr>
        <w:lastRenderedPageBreak/>
        <w:t>Prélèvements</w:t>
      </w:r>
      <w:r w:rsidRPr="00016CA2">
        <w:rPr>
          <w:szCs w:val="36"/>
        </w:rPr>
        <w:t xml:space="preserve"> : </w:t>
      </w:r>
    </w:p>
    <w:p w:rsidR="00016CA2" w:rsidRPr="00016CA2" w:rsidRDefault="00016CA2" w:rsidP="00016CA2">
      <w:pPr>
        <w:pStyle w:val="Paragraphedeliste"/>
        <w:numPr>
          <w:ilvl w:val="0"/>
          <w:numId w:val="9"/>
        </w:numPr>
        <w:rPr>
          <w:szCs w:val="36"/>
        </w:rPr>
      </w:pPr>
      <w:r w:rsidRPr="00016CA2">
        <w:rPr>
          <w:szCs w:val="36"/>
        </w:rPr>
        <w:t>Placer les prélèvements effectués lors de la ponction dans les milieux adéquats, en accord avec le laboratoire d’anatomopathologie</w:t>
      </w:r>
    </w:p>
    <w:p w:rsidR="00016CA2" w:rsidRPr="00016CA2" w:rsidRDefault="00016CA2" w:rsidP="00016CA2">
      <w:pPr>
        <w:pStyle w:val="Paragraphedeliste"/>
        <w:numPr>
          <w:ilvl w:val="0"/>
          <w:numId w:val="9"/>
        </w:numPr>
        <w:rPr>
          <w:szCs w:val="36"/>
        </w:rPr>
      </w:pPr>
      <w:r w:rsidRPr="00016CA2">
        <w:rPr>
          <w:szCs w:val="36"/>
        </w:rPr>
        <w:t>Acheminer rapidement les prélèvements aux différents laboratoires avec un étiquetage correct et la feuille de renseignements cliniques demandée par les laboratoires</w:t>
      </w:r>
    </w:p>
    <w:p w:rsidR="00016CA2" w:rsidRPr="00016CA2" w:rsidRDefault="00016CA2" w:rsidP="00016CA2">
      <w:pPr>
        <w:ind w:left="1068"/>
        <w:rPr>
          <w:szCs w:val="36"/>
        </w:rPr>
      </w:pPr>
    </w:p>
    <w:p w:rsidR="00016CA2" w:rsidRPr="00016CA2" w:rsidRDefault="00016CA2" w:rsidP="00016CA2">
      <w:pPr>
        <w:pStyle w:val="Paragraphedeliste"/>
        <w:numPr>
          <w:ilvl w:val="0"/>
          <w:numId w:val="1"/>
        </w:numPr>
        <w:rPr>
          <w:szCs w:val="36"/>
        </w:rPr>
      </w:pPr>
      <w:r w:rsidRPr="00016CA2">
        <w:rPr>
          <w:b/>
          <w:bCs/>
          <w:i/>
          <w:iCs/>
          <w:szCs w:val="36"/>
        </w:rPr>
        <w:t>Surveillance du patient</w:t>
      </w:r>
      <w:r w:rsidRPr="00016CA2">
        <w:rPr>
          <w:szCs w:val="36"/>
        </w:rPr>
        <w:t> :</w:t>
      </w:r>
    </w:p>
    <w:p w:rsidR="00016CA2" w:rsidRPr="00016CA2" w:rsidRDefault="00016CA2" w:rsidP="00016CA2">
      <w:pPr>
        <w:pStyle w:val="Paragraphedeliste"/>
        <w:numPr>
          <w:ilvl w:val="0"/>
          <w:numId w:val="10"/>
        </w:numPr>
        <w:rPr>
          <w:rFonts w:ascii="Calibri" w:hAnsi="Calibri"/>
          <w:szCs w:val="36"/>
        </w:rPr>
      </w:pPr>
      <w:r w:rsidRPr="00016CA2">
        <w:rPr>
          <w:rFonts w:ascii="Calibri" w:hAnsi="Calibri"/>
          <w:szCs w:val="36"/>
        </w:rPr>
        <w:t xml:space="preserve">Retour du patient en position couchée avec son dossier médical et une fiche de suivi indiquant l’heure de la ponction, les observations éventuelles et la conduite à tenir. </w:t>
      </w:r>
    </w:p>
    <w:p w:rsidR="00016CA2" w:rsidRPr="00016CA2" w:rsidRDefault="00016CA2" w:rsidP="00016CA2">
      <w:pPr>
        <w:pStyle w:val="Paragraphedeliste"/>
        <w:numPr>
          <w:ilvl w:val="0"/>
          <w:numId w:val="10"/>
        </w:numPr>
        <w:rPr>
          <w:szCs w:val="36"/>
        </w:rPr>
      </w:pPr>
      <w:r w:rsidRPr="00016CA2">
        <w:rPr>
          <w:szCs w:val="36"/>
        </w:rPr>
        <w:t>Hospitalisation la nuit suivant le geste</w:t>
      </w:r>
    </w:p>
    <w:p w:rsidR="00016CA2" w:rsidRPr="00016CA2" w:rsidRDefault="00016CA2" w:rsidP="00016CA2">
      <w:pPr>
        <w:pStyle w:val="Paragraphedeliste"/>
        <w:numPr>
          <w:ilvl w:val="0"/>
          <w:numId w:val="10"/>
        </w:numPr>
        <w:rPr>
          <w:szCs w:val="36"/>
        </w:rPr>
      </w:pPr>
      <w:r w:rsidRPr="00016CA2">
        <w:rPr>
          <w:szCs w:val="36"/>
        </w:rPr>
        <w:t>Radiographie de thorax le lendemain</w:t>
      </w:r>
    </w:p>
    <w:p w:rsidR="00016CA2" w:rsidRPr="00016CA2" w:rsidRDefault="00016CA2" w:rsidP="00016CA2">
      <w:pPr>
        <w:rPr>
          <w:szCs w:val="36"/>
        </w:rPr>
      </w:pPr>
    </w:p>
    <w:p w:rsidR="00016CA2" w:rsidRPr="00016CA2" w:rsidRDefault="00016CA2" w:rsidP="00016CA2">
      <w:pPr>
        <w:rPr>
          <w:b/>
          <w:bCs/>
          <w:color w:val="002060"/>
          <w:szCs w:val="36"/>
        </w:rPr>
      </w:pPr>
      <w:r w:rsidRPr="00016CA2">
        <w:rPr>
          <w:b/>
          <w:bCs/>
          <w:color w:val="002060"/>
          <w:szCs w:val="36"/>
        </w:rPr>
        <w:t>COMPTE RENDU :</w:t>
      </w:r>
    </w:p>
    <w:p w:rsidR="00016CA2" w:rsidRPr="00016CA2" w:rsidRDefault="00016CA2" w:rsidP="00016CA2">
      <w:pPr>
        <w:pStyle w:val="Paragraphedeliste"/>
        <w:numPr>
          <w:ilvl w:val="0"/>
          <w:numId w:val="1"/>
        </w:numPr>
        <w:rPr>
          <w:b/>
          <w:bCs/>
          <w:color w:val="002060"/>
          <w:szCs w:val="36"/>
        </w:rPr>
      </w:pPr>
      <w:proofErr w:type="spellStart"/>
      <w:r w:rsidRPr="00016CA2">
        <w:rPr>
          <w:rFonts w:ascii="Calibri" w:hAnsi="Calibri"/>
          <w:szCs w:val="36"/>
        </w:rPr>
        <w:t>Iconographier</w:t>
      </w:r>
      <w:proofErr w:type="spellEnd"/>
      <w:r w:rsidRPr="00016CA2">
        <w:rPr>
          <w:rFonts w:ascii="Calibri" w:hAnsi="Calibri"/>
          <w:szCs w:val="36"/>
        </w:rPr>
        <w:t xml:space="preserve"> la réussite balistique ou </w:t>
      </w:r>
      <w:proofErr w:type="spellStart"/>
      <w:r w:rsidRPr="00016CA2">
        <w:rPr>
          <w:rFonts w:ascii="Calibri" w:hAnsi="Calibri"/>
          <w:szCs w:val="36"/>
        </w:rPr>
        <w:t>a</w:t>
      </w:r>
      <w:proofErr w:type="spellEnd"/>
      <w:r w:rsidRPr="00016CA2">
        <w:rPr>
          <w:rFonts w:ascii="Calibri" w:hAnsi="Calibri"/>
          <w:szCs w:val="36"/>
        </w:rPr>
        <w:t xml:space="preserve">̀ défaut la zone du prélèvement. </w:t>
      </w:r>
    </w:p>
    <w:p w:rsidR="00016CA2" w:rsidRPr="00016CA2" w:rsidRDefault="00016CA2" w:rsidP="00016CA2">
      <w:pPr>
        <w:pStyle w:val="NormalWeb"/>
        <w:numPr>
          <w:ilvl w:val="0"/>
          <w:numId w:val="1"/>
        </w:numPr>
        <w:shd w:val="clear" w:color="auto" w:fill="FFFFFF"/>
        <w:rPr>
          <w:rFonts w:ascii="Calibri" w:hAnsi="Calibri"/>
          <w:szCs w:val="36"/>
        </w:rPr>
      </w:pPr>
      <w:r w:rsidRPr="00016CA2">
        <w:rPr>
          <w:rFonts w:ascii="Calibri" w:hAnsi="Calibri"/>
          <w:szCs w:val="36"/>
        </w:rPr>
        <w:t>Points devant figurer dans le compte rendu : la voie d’abord ; la réussite balistique ou non ; le type de prélèvement réalisé́ (qualité́, nombre, cytologie et/ou biopsie...) ; les complications éventuelles et leur transmission au médecin responsable du patient</w:t>
      </w:r>
    </w:p>
    <w:p w:rsidR="00016CA2" w:rsidRPr="00016CA2" w:rsidRDefault="00016CA2" w:rsidP="00016CA2">
      <w:pPr>
        <w:pStyle w:val="NormalWeb"/>
        <w:numPr>
          <w:ilvl w:val="0"/>
          <w:numId w:val="1"/>
        </w:numPr>
        <w:shd w:val="clear" w:color="auto" w:fill="FFFFFF"/>
        <w:rPr>
          <w:rFonts w:ascii="Garamond" w:hAnsi="Garamond"/>
          <w:b/>
          <w:color w:val="005493"/>
          <w:sz w:val="28"/>
        </w:rPr>
      </w:pPr>
      <w:r w:rsidRPr="00016CA2">
        <w:rPr>
          <w:rFonts w:ascii="Calibri" w:hAnsi="Calibri"/>
          <w:szCs w:val="36"/>
        </w:rPr>
        <w:t xml:space="preserve">Préciser la destination des prélèvements (laboratoires). </w:t>
      </w:r>
    </w:p>
    <w:p w:rsidR="00016CA2" w:rsidRPr="0045226D" w:rsidRDefault="00016CA2" w:rsidP="00016CA2">
      <w:pPr>
        <w:pStyle w:val="Paragraphedeliste"/>
        <w:ind w:left="360"/>
        <w:rPr>
          <w:sz w:val="36"/>
          <w:szCs w:val="36"/>
        </w:rPr>
      </w:pPr>
    </w:p>
    <w:p w:rsidR="00FF1608" w:rsidRPr="009B0C62" w:rsidRDefault="00FF1608" w:rsidP="00016CA2">
      <w:pPr>
        <w:rPr>
          <w:b/>
          <w:color w:val="005493"/>
          <w:sz w:val="18"/>
        </w:rPr>
      </w:pPr>
    </w:p>
    <w:sectPr w:rsidR="00FF1608" w:rsidRPr="009B0C62" w:rsidSect="009213C2">
      <w:headerReference w:type="default" r:id="rId8"/>
      <w:footerReference w:type="default" r:id="rId9"/>
      <w:pgSz w:w="11900" w:h="16840"/>
      <w:pgMar w:top="720" w:right="720" w:bottom="720" w:left="720"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AB" w:rsidRDefault="00EB0EAB" w:rsidP="00631563">
      <w:r>
        <w:separator/>
      </w:r>
    </w:p>
  </w:endnote>
  <w:endnote w:type="continuationSeparator" w:id="0">
    <w:p w:rsidR="00EB0EAB" w:rsidRDefault="00EB0EAB" w:rsidP="0063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63" w:rsidRDefault="009213C2">
    <w:pPr>
      <w:pStyle w:val="Pieddepage"/>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366395</wp:posOffset>
              </wp:positionV>
              <wp:extent cx="7528560" cy="228600"/>
              <wp:effectExtent l="0" t="0" r="15240" b="12700"/>
              <wp:wrapNone/>
              <wp:docPr id="5" name="Rectangle 5"/>
              <wp:cNvGraphicFramePr/>
              <a:graphic xmlns:a="http://schemas.openxmlformats.org/drawingml/2006/main">
                <a:graphicData uri="http://schemas.microsoft.com/office/word/2010/wordprocessingShape">
                  <wps:wsp>
                    <wps:cNvSpPr/>
                    <wps:spPr>
                      <a:xfrm>
                        <a:off x="0" y="0"/>
                        <a:ext cx="7528560" cy="228600"/>
                      </a:xfrm>
                      <a:prstGeom prst="rect">
                        <a:avLst/>
                      </a:prstGeom>
                      <a:solidFill>
                        <a:srgbClr val="00549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4D61C4" id="Rectangle 5" o:spid="_x0000_s1026" style="position:absolute;margin-left:-36pt;margin-top:28.85pt;width:592.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" fillcolor="#005493" strokecolor="#1f3763 [160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AB" w:rsidRDefault="00EB0EAB" w:rsidP="00631563">
      <w:r>
        <w:separator/>
      </w:r>
    </w:p>
  </w:footnote>
  <w:footnote w:type="continuationSeparator" w:id="0">
    <w:p w:rsidR="00EB0EAB" w:rsidRDefault="00EB0EAB" w:rsidP="0063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63" w:rsidRDefault="00846B84" w:rsidP="00631563">
    <w:pPr>
      <w:pStyle w:val="En-tte"/>
      <w:jc w:val="right"/>
    </w:pPr>
    <w:r>
      <w:rPr>
        <w:noProof/>
        <w:lang w:eastAsia="fr-FR"/>
      </w:rPr>
      <mc:AlternateContent>
        <mc:Choice Requires="wpg">
          <w:drawing>
            <wp:anchor distT="0" distB="0" distL="114300" distR="114300" simplePos="0" relativeHeight="251659264" behindDoc="0" locked="0" layoutInCell="1" allowOverlap="1">
              <wp:simplePos x="0" y="0"/>
              <wp:positionH relativeFrom="column">
                <wp:posOffset>-701040</wp:posOffset>
              </wp:positionH>
              <wp:positionV relativeFrom="paragraph">
                <wp:posOffset>-987425</wp:posOffset>
              </wp:positionV>
              <wp:extent cx="8068945" cy="847725"/>
              <wp:effectExtent l="0" t="0" r="0" b="0"/>
              <wp:wrapNone/>
              <wp:docPr id="159" name="Groupe 159"/>
              <wp:cNvGraphicFramePr/>
              <a:graphic xmlns:a="http://schemas.openxmlformats.org/drawingml/2006/main">
                <a:graphicData uri="http://schemas.microsoft.com/office/word/2010/wordprocessingGroup">
                  <wpg:wgp>
                    <wpg:cNvGrpSpPr/>
                    <wpg:grpSpPr>
                      <a:xfrm>
                        <a:off x="0" y="0"/>
                        <a:ext cx="8068945" cy="847725"/>
                        <a:chOff x="3585" y="-257303"/>
                        <a:chExt cx="1843099" cy="1275775"/>
                      </a:xfrm>
                    </wpg:grpSpPr>
                    <wps:wsp>
                      <wps:cNvPr id="160" name="Rectangle 160"/>
                      <wps:cNvSpPr/>
                      <wps:spPr>
                        <a:xfrm>
                          <a:off x="57317" y="-5656"/>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85" y="-257303"/>
                          <a:ext cx="1843099" cy="1218356"/>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005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C6FAC9" id="Groupe 159" o:spid="_x0000_s1026" style="position:absolute;margin-left:-55.2pt;margin-top:-77.75pt;width:635.35pt;height:66.75pt;z-index:251659264;mso-width-relative:margin;mso-height-relative:margin" coordorigin="35,-2573" coordsize="18430,1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">
              <v:rect id="Rectangle 160" o:spid="_x0000_s1027" style="position:absolute;left:573;top:-56;width:17008;height:1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" fillcolor="white [3212]" stroked="f" strokeweight="1pt">
                <v:fill opacity="0"/>
              </v:rect>
              <v:shape id="Rectangle 1" o:spid="_x0000_s1028" style="position:absolute;left:35;top:-2573;width:18431;height:1218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" path="m,l1462822,,910372,376306,,1014481,,xe" fillcolor="#005493" stroked="f" strokeweight="1pt">
                <v:stroke joinstyle="miter"/>
                <v:path arrowok="t" o:connecttype="custom" o:connectlocs="0,0;1843099,0;1147033,451930;0,1218356;0,0" o:connectangles="0,0,0,0,0"/>
              </v:shape>
            </v:group>
          </w:pict>
        </mc:Fallback>
      </mc:AlternateContent>
    </w:r>
    <w:r w:rsidR="009213C2">
      <w:rPr>
        <w:noProof/>
        <w:lang w:eastAsia="fr-FR"/>
      </w:rPr>
      <w:drawing>
        <wp:anchor distT="0" distB="0" distL="114300" distR="114300" simplePos="0" relativeHeight="251658239" behindDoc="0" locked="0" layoutInCell="1" allowOverlap="1" wp14:anchorId="2B19B664">
          <wp:simplePos x="0" y="0"/>
          <wp:positionH relativeFrom="margin">
            <wp:posOffset>5955665</wp:posOffset>
          </wp:positionH>
          <wp:positionV relativeFrom="margin">
            <wp:posOffset>-1070610</wp:posOffset>
          </wp:positionV>
          <wp:extent cx="1106170" cy="10718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940" t="5671" r="11194"/>
                  <a:stretch/>
                </pic:blipFill>
                <pic:spPr bwMode="auto">
                  <a:xfrm>
                    <a:off x="0" y="0"/>
                    <a:ext cx="1106170"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3C2">
      <w:rPr>
        <w:noProof/>
        <w:lang w:eastAsia="fr-FR"/>
      </w:rPr>
      <mc:AlternateContent>
        <mc:Choice Requires="wps">
          <w:drawing>
            <wp:anchor distT="0" distB="0" distL="114300" distR="114300" simplePos="0" relativeHeight="251663360" behindDoc="0" locked="0" layoutInCell="1" allowOverlap="1">
              <wp:simplePos x="0" y="0"/>
              <wp:positionH relativeFrom="column">
                <wp:posOffset>-508346</wp:posOffset>
              </wp:positionH>
              <wp:positionV relativeFrom="paragraph">
                <wp:posOffset>-587317</wp:posOffset>
              </wp:positionV>
              <wp:extent cx="3177093" cy="234586"/>
              <wp:effectExtent l="0" t="0" r="10795" b="172085"/>
              <wp:wrapNone/>
              <wp:docPr id="3" name="Triangle 3"/>
              <wp:cNvGraphicFramePr/>
              <a:graphic xmlns:a="http://schemas.openxmlformats.org/drawingml/2006/main">
                <a:graphicData uri="http://schemas.microsoft.com/office/word/2010/wordprocessingShape">
                  <wps:wsp>
                    <wps:cNvSpPr/>
                    <wps:spPr>
                      <a:xfrm rot="21251673">
                        <a:off x="0" y="0"/>
                        <a:ext cx="3177093" cy="234586"/>
                      </a:xfrm>
                      <a:prstGeom prst="triangle">
                        <a:avLst/>
                      </a:prstGeom>
                      <a:gradFill>
                        <a:gsLst>
                          <a:gs pos="33000">
                            <a:srgbClr val="D7847B"/>
                          </a:gs>
                          <a:gs pos="39000">
                            <a:srgbClr val="D7847B"/>
                          </a:gs>
                          <a:gs pos="100000">
                            <a:srgbClr val="D7847B">
                              <a:tint val="23500"/>
                              <a:satMod val="160000"/>
                            </a:srgb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4138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40.05pt;margin-top:-46.25pt;width:250.15pt;height:18.45pt;rotation:-38046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" fillcolor="#d7847b" stroked="f" strokeweight="1pt">
              <v:fill color2="#fae6e4" angle="45" colors="0 #d7847b;21627f #d7847b;25559f #d7847b" focus="100%" type="gradient"/>
              <v:textbox inset=",4mm"/>
            </v:shape>
          </w:pict>
        </mc:Fallback>
      </mc:AlternateContent>
    </w:r>
    <w:r w:rsidR="009213C2">
      <w:rPr>
        <w:noProof/>
        <w:lang w:eastAsia="fr-FR"/>
      </w:rPr>
      <mc:AlternateContent>
        <mc:Choice Requires="wps">
          <w:drawing>
            <wp:anchor distT="0" distB="0" distL="114300" distR="114300" simplePos="0" relativeHeight="251662336" behindDoc="0" locked="0" layoutInCell="1" allowOverlap="1" wp14:anchorId="313DDDA3" wp14:editId="2D6C8CAF">
              <wp:simplePos x="0" y="0"/>
              <wp:positionH relativeFrom="column">
                <wp:posOffset>1247776</wp:posOffset>
              </wp:positionH>
              <wp:positionV relativeFrom="paragraph">
                <wp:posOffset>-682969</wp:posOffset>
              </wp:positionV>
              <wp:extent cx="2633962" cy="183624"/>
              <wp:effectExtent l="0" t="0" r="8255" b="133985"/>
              <wp:wrapNone/>
              <wp:docPr id="4" name="Triangle 4"/>
              <wp:cNvGraphicFramePr/>
              <a:graphic xmlns:a="http://schemas.openxmlformats.org/drawingml/2006/main">
                <a:graphicData uri="http://schemas.microsoft.com/office/word/2010/wordprocessingShape">
                  <wps:wsp>
                    <wps:cNvSpPr/>
                    <wps:spPr>
                      <a:xfrm rot="21251673">
                        <a:off x="0" y="0"/>
                        <a:ext cx="2633962" cy="183624"/>
                      </a:xfrm>
                      <a:prstGeom prst="triangle">
                        <a:avLst/>
                      </a:prstGeom>
                      <a:gradFill>
                        <a:gsLst>
                          <a:gs pos="0">
                            <a:srgbClr val="FFD8FF"/>
                          </a:gs>
                          <a:gs pos="14000">
                            <a:srgbClr val="D7847B">
                              <a:tint val="44500"/>
                              <a:satMod val="160000"/>
                            </a:srgbClr>
                          </a:gs>
                          <a:gs pos="40000">
                            <a:srgbClr val="D7847B">
                              <a:tint val="23500"/>
                              <a:satMod val="160000"/>
                            </a:srgb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2815CA" id="Triangle 4" o:spid="_x0000_s1026" type="#_x0000_t5" style="position:absolute;margin-left:98.25pt;margin-top:-53.8pt;width:207.4pt;height:14.45pt;rotation:-38046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" fillcolor="#ffd8ff" stroked="f" strokeweight="1pt">
              <v:fill color2="#fae6e4" angle="45" colors="0 #ffd8ff;9175f #f7cdc9;26214f #fae6e4" focus="100%" type="gradie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737"/>
    <w:multiLevelType w:val="hybridMultilevel"/>
    <w:tmpl w:val="DC6A8EA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74327AE"/>
    <w:multiLevelType w:val="hybridMultilevel"/>
    <w:tmpl w:val="D2244C0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EC76AA0"/>
    <w:multiLevelType w:val="hybridMultilevel"/>
    <w:tmpl w:val="6BCE3E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EF25A1F"/>
    <w:multiLevelType w:val="hybridMultilevel"/>
    <w:tmpl w:val="E6F250C2"/>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343470F7"/>
    <w:multiLevelType w:val="hybridMultilevel"/>
    <w:tmpl w:val="50F41FCC"/>
    <w:lvl w:ilvl="0" w:tplc="97D8D9D4">
      <w:start w:val="1"/>
      <w:numFmt w:val="bullet"/>
      <w:lvlText w:val="-"/>
      <w:lvlJc w:val="left"/>
      <w:pPr>
        <w:ind w:left="2498" w:hanging="360"/>
      </w:pPr>
      <w:rPr>
        <w:rFonts w:ascii="Calibri" w:eastAsiaTheme="minorEastAsia" w:hAnsi="Calibri" w:cstheme="minorBidi"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5">
    <w:nsid w:val="581B5C55"/>
    <w:multiLevelType w:val="hybridMultilevel"/>
    <w:tmpl w:val="79C86034"/>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6">
    <w:nsid w:val="71F93F88"/>
    <w:multiLevelType w:val="hybridMultilevel"/>
    <w:tmpl w:val="B21A27DC"/>
    <w:lvl w:ilvl="0" w:tplc="040C0005">
      <w:start w:val="1"/>
      <w:numFmt w:val="bullet"/>
      <w:lvlText w:val=""/>
      <w:lvlJc w:val="left"/>
      <w:pPr>
        <w:ind w:left="1511" w:hanging="360"/>
      </w:pPr>
      <w:rPr>
        <w:rFonts w:ascii="Wingdings" w:hAnsi="Wingdings" w:hint="default"/>
      </w:rPr>
    </w:lvl>
    <w:lvl w:ilvl="1" w:tplc="040C0003" w:tentative="1">
      <w:start w:val="1"/>
      <w:numFmt w:val="bullet"/>
      <w:lvlText w:val="o"/>
      <w:lvlJc w:val="left"/>
      <w:pPr>
        <w:ind w:left="2231" w:hanging="360"/>
      </w:pPr>
      <w:rPr>
        <w:rFonts w:ascii="Courier New" w:hAnsi="Courier New" w:cs="Courier New" w:hint="default"/>
      </w:rPr>
    </w:lvl>
    <w:lvl w:ilvl="2" w:tplc="040C0005" w:tentative="1">
      <w:start w:val="1"/>
      <w:numFmt w:val="bullet"/>
      <w:lvlText w:val=""/>
      <w:lvlJc w:val="left"/>
      <w:pPr>
        <w:ind w:left="2951" w:hanging="360"/>
      </w:pPr>
      <w:rPr>
        <w:rFonts w:ascii="Wingdings" w:hAnsi="Wingdings" w:hint="default"/>
      </w:rPr>
    </w:lvl>
    <w:lvl w:ilvl="3" w:tplc="040C0001" w:tentative="1">
      <w:start w:val="1"/>
      <w:numFmt w:val="bullet"/>
      <w:lvlText w:val=""/>
      <w:lvlJc w:val="left"/>
      <w:pPr>
        <w:ind w:left="3671" w:hanging="360"/>
      </w:pPr>
      <w:rPr>
        <w:rFonts w:ascii="Symbol" w:hAnsi="Symbol" w:hint="default"/>
      </w:rPr>
    </w:lvl>
    <w:lvl w:ilvl="4" w:tplc="040C0003" w:tentative="1">
      <w:start w:val="1"/>
      <w:numFmt w:val="bullet"/>
      <w:lvlText w:val="o"/>
      <w:lvlJc w:val="left"/>
      <w:pPr>
        <w:ind w:left="4391" w:hanging="360"/>
      </w:pPr>
      <w:rPr>
        <w:rFonts w:ascii="Courier New" w:hAnsi="Courier New" w:cs="Courier New" w:hint="default"/>
      </w:rPr>
    </w:lvl>
    <w:lvl w:ilvl="5" w:tplc="040C0005" w:tentative="1">
      <w:start w:val="1"/>
      <w:numFmt w:val="bullet"/>
      <w:lvlText w:val=""/>
      <w:lvlJc w:val="left"/>
      <w:pPr>
        <w:ind w:left="5111" w:hanging="360"/>
      </w:pPr>
      <w:rPr>
        <w:rFonts w:ascii="Wingdings" w:hAnsi="Wingdings" w:hint="default"/>
      </w:rPr>
    </w:lvl>
    <w:lvl w:ilvl="6" w:tplc="040C0001" w:tentative="1">
      <w:start w:val="1"/>
      <w:numFmt w:val="bullet"/>
      <w:lvlText w:val=""/>
      <w:lvlJc w:val="left"/>
      <w:pPr>
        <w:ind w:left="5831" w:hanging="360"/>
      </w:pPr>
      <w:rPr>
        <w:rFonts w:ascii="Symbol" w:hAnsi="Symbol" w:hint="default"/>
      </w:rPr>
    </w:lvl>
    <w:lvl w:ilvl="7" w:tplc="040C0003" w:tentative="1">
      <w:start w:val="1"/>
      <w:numFmt w:val="bullet"/>
      <w:lvlText w:val="o"/>
      <w:lvlJc w:val="left"/>
      <w:pPr>
        <w:ind w:left="6551" w:hanging="360"/>
      </w:pPr>
      <w:rPr>
        <w:rFonts w:ascii="Courier New" w:hAnsi="Courier New" w:cs="Courier New" w:hint="default"/>
      </w:rPr>
    </w:lvl>
    <w:lvl w:ilvl="8" w:tplc="040C0005" w:tentative="1">
      <w:start w:val="1"/>
      <w:numFmt w:val="bullet"/>
      <w:lvlText w:val=""/>
      <w:lvlJc w:val="left"/>
      <w:pPr>
        <w:ind w:left="7271" w:hanging="360"/>
      </w:pPr>
      <w:rPr>
        <w:rFonts w:ascii="Wingdings" w:hAnsi="Wingdings" w:hint="default"/>
      </w:rPr>
    </w:lvl>
  </w:abstractNum>
  <w:abstractNum w:abstractNumId="7">
    <w:nsid w:val="72A60CA6"/>
    <w:multiLevelType w:val="hybridMultilevel"/>
    <w:tmpl w:val="ECAE4CD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735025B7"/>
    <w:multiLevelType w:val="hybridMultilevel"/>
    <w:tmpl w:val="1DB4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756FE7"/>
    <w:multiLevelType w:val="hybridMultilevel"/>
    <w:tmpl w:val="EC02BDB6"/>
    <w:lvl w:ilvl="0" w:tplc="BEBCCAA0">
      <w:start w:val="1"/>
      <w:numFmt w:val="bullet"/>
      <w:lvlText w:val="-"/>
      <w:lvlJc w:val="left"/>
      <w:pPr>
        <w:ind w:left="2138" w:hanging="360"/>
      </w:pPr>
      <w:rPr>
        <w:rFonts w:ascii="Calibri" w:eastAsiaTheme="minorEastAsia" w:hAnsi="Calibri" w:cstheme="minorBid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9"/>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63"/>
    <w:rsid w:val="00016CA2"/>
    <w:rsid w:val="00017293"/>
    <w:rsid w:val="00027F22"/>
    <w:rsid w:val="00057179"/>
    <w:rsid w:val="000836ED"/>
    <w:rsid w:val="000E175B"/>
    <w:rsid w:val="00102FE2"/>
    <w:rsid w:val="00116D10"/>
    <w:rsid w:val="00145BE8"/>
    <w:rsid w:val="001603F7"/>
    <w:rsid w:val="0017691D"/>
    <w:rsid w:val="00186BB3"/>
    <w:rsid w:val="001A6902"/>
    <w:rsid w:val="001A7241"/>
    <w:rsid w:val="001E7D47"/>
    <w:rsid w:val="002451A4"/>
    <w:rsid w:val="0024666E"/>
    <w:rsid w:val="002667B3"/>
    <w:rsid w:val="00283FC0"/>
    <w:rsid w:val="00295DD5"/>
    <w:rsid w:val="002A7272"/>
    <w:rsid w:val="002F380D"/>
    <w:rsid w:val="003054A0"/>
    <w:rsid w:val="0035059C"/>
    <w:rsid w:val="00391D6E"/>
    <w:rsid w:val="003C6774"/>
    <w:rsid w:val="003C7C30"/>
    <w:rsid w:val="003F679B"/>
    <w:rsid w:val="00415AC0"/>
    <w:rsid w:val="004248F2"/>
    <w:rsid w:val="00443AB6"/>
    <w:rsid w:val="00457CB4"/>
    <w:rsid w:val="00464533"/>
    <w:rsid w:val="00494B61"/>
    <w:rsid w:val="004D7371"/>
    <w:rsid w:val="004D7ED0"/>
    <w:rsid w:val="004E111C"/>
    <w:rsid w:val="004E3D7C"/>
    <w:rsid w:val="004E5A8F"/>
    <w:rsid w:val="005375C9"/>
    <w:rsid w:val="005410B7"/>
    <w:rsid w:val="005427DF"/>
    <w:rsid w:val="00545257"/>
    <w:rsid w:val="005615DA"/>
    <w:rsid w:val="00566BAD"/>
    <w:rsid w:val="005721AD"/>
    <w:rsid w:val="005974C9"/>
    <w:rsid w:val="005B0D24"/>
    <w:rsid w:val="005D24A3"/>
    <w:rsid w:val="005E48DE"/>
    <w:rsid w:val="005E7597"/>
    <w:rsid w:val="00631563"/>
    <w:rsid w:val="00645610"/>
    <w:rsid w:val="00695DED"/>
    <w:rsid w:val="006B1D0C"/>
    <w:rsid w:val="006D6432"/>
    <w:rsid w:val="006E516B"/>
    <w:rsid w:val="006E54C1"/>
    <w:rsid w:val="00764D76"/>
    <w:rsid w:val="00766889"/>
    <w:rsid w:val="007777F8"/>
    <w:rsid w:val="007A2B08"/>
    <w:rsid w:val="007A6B01"/>
    <w:rsid w:val="007D4A87"/>
    <w:rsid w:val="008267DA"/>
    <w:rsid w:val="00827A6E"/>
    <w:rsid w:val="00830CEA"/>
    <w:rsid w:val="00835774"/>
    <w:rsid w:val="0083701A"/>
    <w:rsid w:val="00846B84"/>
    <w:rsid w:val="008515B4"/>
    <w:rsid w:val="00855A02"/>
    <w:rsid w:val="0089117E"/>
    <w:rsid w:val="008A3C13"/>
    <w:rsid w:val="008B4000"/>
    <w:rsid w:val="008B6544"/>
    <w:rsid w:val="008C6AAD"/>
    <w:rsid w:val="008D5340"/>
    <w:rsid w:val="008D59D0"/>
    <w:rsid w:val="008E4756"/>
    <w:rsid w:val="008F2E5D"/>
    <w:rsid w:val="009053DD"/>
    <w:rsid w:val="009213C2"/>
    <w:rsid w:val="00936DCF"/>
    <w:rsid w:val="009B0C62"/>
    <w:rsid w:val="009B1B10"/>
    <w:rsid w:val="009C6616"/>
    <w:rsid w:val="009D1446"/>
    <w:rsid w:val="00A129C6"/>
    <w:rsid w:val="00A3730D"/>
    <w:rsid w:val="00A5174A"/>
    <w:rsid w:val="00A54C69"/>
    <w:rsid w:val="00A743E2"/>
    <w:rsid w:val="00AC5153"/>
    <w:rsid w:val="00AE41E7"/>
    <w:rsid w:val="00AE6C9F"/>
    <w:rsid w:val="00B02DA6"/>
    <w:rsid w:val="00B811CE"/>
    <w:rsid w:val="00C15357"/>
    <w:rsid w:val="00C23BBD"/>
    <w:rsid w:val="00C35CA8"/>
    <w:rsid w:val="00C40D03"/>
    <w:rsid w:val="00C474AC"/>
    <w:rsid w:val="00CA1F6E"/>
    <w:rsid w:val="00CB1031"/>
    <w:rsid w:val="00CC0CAF"/>
    <w:rsid w:val="00CF3F15"/>
    <w:rsid w:val="00CF72BB"/>
    <w:rsid w:val="00D05FBD"/>
    <w:rsid w:val="00D14FE3"/>
    <w:rsid w:val="00DA0FF2"/>
    <w:rsid w:val="00DC5F27"/>
    <w:rsid w:val="00E21462"/>
    <w:rsid w:val="00E251FF"/>
    <w:rsid w:val="00E32D87"/>
    <w:rsid w:val="00E429E2"/>
    <w:rsid w:val="00E45486"/>
    <w:rsid w:val="00E81D36"/>
    <w:rsid w:val="00E94F9C"/>
    <w:rsid w:val="00EA784D"/>
    <w:rsid w:val="00EB0EAB"/>
    <w:rsid w:val="00F122BB"/>
    <w:rsid w:val="00F13875"/>
    <w:rsid w:val="00F22CC2"/>
    <w:rsid w:val="00F37B76"/>
    <w:rsid w:val="00F444A0"/>
    <w:rsid w:val="00F77D8C"/>
    <w:rsid w:val="00F92F65"/>
    <w:rsid w:val="00F946D3"/>
    <w:rsid w:val="00FA157F"/>
    <w:rsid w:val="00FD3F3C"/>
    <w:rsid w:val="00FF1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4C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E54C1"/>
    <w:rPr>
      <w:rFonts w:ascii="Times New Roman" w:hAnsi="Times New Roman" w:cs="Times New Roman"/>
      <w:sz w:val="18"/>
      <w:szCs w:val="18"/>
    </w:rPr>
  </w:style>
  <w:style w:type="paragraph" w:styleId="En-tte">
    <w:name w:val="header"/>
    <w:basedOn w:val="Normal"/>
    <w:link w:val="En-tteCar"/>
    <w:uiPriority w:val="99"/>
    <w:unhideWhenUsed/>
    <w:rsid w:val="00631563"/>
    <w:pPr>
      <w:tabs>
        <w:tab w:val="center" w:pos="4536"/>
        <w:tab w:val="right" w:pos="9072"/>
      </w:tabs>
    </w:pPr>
  </w:style>
  <w:style w:type="character" w:customStyle="1" w:styleId="En-tteCar">
    <w:name w:val="En-tête Car"/>
    <w:basedOn w:val="Policepardfaut"/>
    <w:link w:val="En-tte"/>
    <w:uiPriority w:val="99"/>
    <w:rsid w:val="00631563"/>
  </w:style>
  <w:style w:type="paragraph" w:styleId="Pieddepage">
    <w:name w:val="footer"/>
    <w:basedOn w:val="Normal"/>
    <w:link w:val="PieddepageCar"/>
    <w:uiPriority w:val="99"/>
    <w:unhideWhenUsed/>
    <w:rsid w:val="00631563"/>
    <w:pPr>
      <w:tabs>
        <w:tab w:val="center" w:pos="4536"/>
        <w:tab w:val="right" w:pos="9072"/>
      </w:tabs>
    </w:pPr>
  </w:style>
  <w:style w:type="character" w:customStyle="1" w:styleId="PieddepageCar">
    <w:name w:val="Pied de page Car"/>
    <w:basedOn w:val="Policepardfaut"/>
    <w:link w:val="Pieddepage"/>
    <w:uiPriority w:val="99"/>
    <w:rsid w:val="00631563"/>
  </w:style>
  <w:style w:type="paragraph" w:styleId="Paragraphedeliste">
    <w:name w:val="List Paragraph"/>
    <w:basedOn w:val="Normal"/>
    <w:uiPriority w:val="34"/>
    <w:qFormat/>
    <w:rsid w:val="00FF1608"/>
    <w:pPr>
      <w:ind w:left="720"/>
      <w:contextualSpacing/>
    </w:pPr>
    <w:rPr>
      <w:rFonts w:eastAsiaTheme="minorEastAsia"/>
      <w:lang w:eastAsia="zh-CN"/>
    </w:rPr>
  </w:style>
  <w:style w:type="paragraph" w:styleId="NormalWeb">
    <w:name w:val="Normal (Web)"/>
    <w:basedOn w:val="Normal"/>
    <w:uiPriority w:val="99"/>
    <w:unhideWhenUsed/>
    <w:rsid w:val="009B0C62"/>
    <w:pPr>
      <w:spacing w:before="100" w:beforeAutospacing="1" w:after="100" w:afterAutospacing="1"/>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4C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E54C1"/>
    <w:rPr>
      <w:rFonts w:ascii="Times New Roman" w:hAnsi="Times New Roman" w:cs="Times New Roman"/>
      <w:sz w:val="18"/>
      <w:szCs w:val="18"/>
    </w:rPr>
  </w:style>
  <w:style w:type="paragraph" w:styleId="En-tte">
    <w:name w:val="header"/>
    <w:basedOn w:val="Normal"/>
    <w:link w:val="En-tteCar"/>
    <w:uiPriority w:val="99"/>
    <w:unhideWhenUsed/>
    <w:rsid w:val="00631563"/>
    <w:pPr>
      <w:tabs>
        <w:tab w:val="center" w:pos="4536"/>
        <w:tab w:val="right" w:pos="9072"/>
      </w:tabs>
    </w:pPr>
  </w:style>
  <w:style w:type="character" w:customStyle="1" w:styleId="En-tteCar">
    <w:name w:val="En-tête Car"/>
    <w:basedOn w:val="Policepardfaut"/>
    <w:link w:val="En-tte"/>
    <w:uiPriority w:val="99"/>
    <w:rsid w:val="00631563"/>
  </w:style>
  <w:style w:type="paragraph" w:styleId="Pieddepage">
    <w:name w:val="footer"/>
    <w:basedOn w:val="Normal"/>
    <w:link w:val="PieddepageCar"/>
    <w:uiPriority w:val="99"/>
    <w:unhideWhenUsed/>
    <w:rsid w:val="00631563"/>
    <w:pPr>
      <w:tabs>
        <w:tab w:val="center" w:pos="4536"/>
        <w:tab w:val="right" w:pos="9072"/>
      </w:tabs>
    </w:pPr>
  </w:style>
  <w:style w:type="character" w:customStyle="1" w:styleId="PieddepageCar">
    <w:name w:val="Pied de page Car"/>
    <w:basedOn w:val="Policepardfaut"/>
    <w:link w:val="Pieddepage"/>
    <w:uiPriority w:val="99"/>
    <w:rsid w:val="00631563"/>
  </w:style>
  <w:style w:type="paragraph" w:styleId="Paragraphedeliste">
    <w:name w:val="List Paragraph"/>
    <w:basedOn w:val="Normal"/>
    <w:uiPriority w:val="34"/>
    <w:qFormat/>
    <w:rsid w:val="00FF1608"/>
    <w:pPr>
      <w:ind w:left="720"/>
      <w:contextualSpacing/>
    </w:pPr>
    <w:rPr>
      <w:rFonts w:eastAsiaTheme="minorEastAsia"/>
      <w:lang w:eastAsia="zh-CN"/>
    </w:rPr>
  </w:style>
  <w:style w:type="paragraph" w:styleId="NormalWeb">
    <w:name w:val="Normal (Web)"/>
    <w:basedOn w:val="Normal"/>
    <w:uiPriority w:val="99"/>
    <w:unhideWhenUsed/>
    <w:rsid w:val="009B0C62"/>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dc:creator>
  <cp:lastModifiedBy>BOUSSOUAR Samia</cp:lastModifiedBy>
  <cp:revision>4</cp:revision>
  <dcterms:created xsi:type="dcterms:W3CDTF">2021-04-17T09:39:00Z</dcterms:created>
  <dcterms:modified xsi:type="dcterms:W3CDTF">2021-04-21T15:23:00Z</dcterms:modified>
</cp:coreProperties>
</file>