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7A3D9D" w:rsidRPr="007A3D9D" w:rsidRDefault="007A3D9D" w:rsidP="007A3D9D">
      <w:pPr>
        <w:jc w:val="center"/>
        <w:rPr>
          <w:b/>
          <w:bCs/>
          <w:color w:val="002060"/>
          <w:sz w:val="32"/>
          <w:szCs w:val="44"/>
        </w:rPr>
      </w:pPr>
      <w:r w:rsidRPr="007A3D9D">
        <w:rPr>
          <w:b/>
          <w:bCs/>
          <w:color w:val="002060"/>
          <w:sz w:val="32"/>
          <w:szCs w:val="44"/>
        </w:rPr>
        <w:t>BILAN PRE-THERAPEUTIQUE D’UN CANCER BRONCHO-PULMONAIRE</w:t>
      </w:r>
    </w:p>
    <w:p w:rsidR="007A3D9D" w:rsidRDefault="007A3D9D" w:rsidP="007A3D9D">
      <w:pPr>
        <w:rPr>
          <w:sz w:val="36"/>
          <w:szCs w:val="36"/>
        </w:rPr>
      </w:pPr>
    </w:p>
    <w:p w:rsidR="00D7530A" w:rsidRPr="00D7530A" w:rsidRDefault="00D7530A" w:rsidP="00D7530A">
      <w:pPr>
        <w:rPr>
          <w:b/>
          <w:bCs/>
          <w:color w:val="002060"/>
          <w:szCs w:val="36"/>
        </w:rPr>
      </w:pPr>
      <w:r w:rsidRPr="00D7530A">
        <w:rPr>
          <w:b/>
          <w:bCs/>
          <w:color w:val="002060"/>
          <w:szCs w:val="36"/>
        </w:rPr>
        <w:t>TECHNIQUES :</w:t>
      </w:r>
    </w:p>
    <w:p w:rsidR="00D7530A" w:rsidRPr="00D7530A" w:rsidRDefault="00D7530A" w:rsidP="00D7530A">
      <w:pPr>
        <w:pStyle w:val="Paragraphedeliste"/>
        <w:numPr>
          <w:ilvl w:val="0"/>
          <w:numId w:val="1"/>
        </w:numPr>
        <w:rPr>
          <w:szCs w:val="36"/>
        </w:rPr>
      </w:pPr>
      <w:r w:rsidRPr="00D7530A">
        <w:rPr>
          <w:b/>
          <w:bCs/>
          <w:i/>
          <w:iCs/>
          <w:szCs w:val="36"/>
        </w:rPr>
        <w:t>Préparation</w:t>
      </w:r>
      <w:r w:rsidRPr="00D7530A">
        <w:rPr>
          <w:szCs w:val="36"/>
        </w:rPr>
        <w:t xml:space="preserve"> : </w:t>
      </w:r>
    </w:p>
    <w:p w:rsidR="00D7530A" w:rsidRPr="00D7530A" w:rsidRDefault="00D7530A" w:rsidP="00D7530A">
      <w:pPr>
        <w:pStyle w:val="Paragraphedeliste"/>
        <w:numPr>
          <w:ilvl w:val="0"/>
          <w:numId w:val="11"/>
        </w:numPr>
        <w:rPr>
          <w:szCs w:val="36"/>
        </w:rPr>
      </w:pPr>
      <w:r w:rsidRPr="00D7530A">
        <w:rPr>
          <w:szCs w:val="36"/>
        </w:rPr>
        <w:t>VVP</w:t>
      </w:r>
    </w:p>
    <w:p w:rsidR="00D7530A" w:rsidRPr="00D7530A" w:rsidRDefault="00D7530A" w:rsidP="00D7530A">
      <w:pPr>
        <w:pStyle w:val="Paragraphedeliste"/>
        <w:numPr>
          <w:ilvl w:val="0"/>
          <w:numId w:val="11"/>
        </w:numPr>
        <w:rPr>
          <w:szCs w:val="36"/>
        </w:rPr>
      </w:pPr>
      <w:r w:rsidRPr="00D7530A">
        <w:rPr>
          <w:szCs w:val="36"/>
        </w:rPr>
        <w:t>S’assurer de l’absence de CI à l’injection de P</w:t>
      </w:r>
      <w:bookmarkStart w:id="0" w:name="_GoBack"/>
      <w:bookmarkEnd w:id="0"/>
      <w:r w:rsidRPr="00D7530A">
        <w:rPr>
          <w:szCs w:val="36"/>
        </w:rPr>
        <w:t>CI</w:t>
      </w:r>
    </w:p>
    <w:p w:rsidR="00D7530A" w:rsidRPr="00D7530A" w:rsidRDefault="00D7530A" w:rsidP="00D7530A">
      <w:pPr>
        <w:rPr>
          <w:szCs w:val="36"/>
        </w:rPr>
      </w:pPr>
    </w:p>
    <w:p w:rsidR="00D7530A" w:rsidRPr="00D7530A" w:rsidRDefault="00D7530A" w:rsidP="00D7530A">
      <w:pPr>
        <w:pStyle w:val="Paragraphedeliste"/>
        <w:numPr>
          <w:ilvl w:val="0"/>
          <w:numId w:val="1"/>
        </w:numPr>
        <w:rPr>
          <w:szCs w:val="36"/>
        </w:rPr>
      </w:pPr>
      <w:r w:rsidRPr="00D7530A">
        <w:rPr>
          <w:b/>
          <w:bCs/>
          <w:i/>
          <w:iCs/>
          <w:szCs w:val="36"/>
        </w:rPr>
        <w:t>Positionnement</w:t>
      </w:r>
      <w:r w:rsidRPr="00D7530A">
        <w:rPr>
          <w:szCs w:val="36"/>
        </w:rPr>
        <w:t> : décubitus dorsal, bras au-dessus de la tête</w:t>
      </w:r>
    </w:p>
    <w:p w:rsidR="00D7530A" w:rsidRPr="00D7530A" w:rsidRDefault="00D7530A" w:rsidP="00D7530A">
      <w:pPr>
        <w:pStyle w:val="Paragraphedeliste"/>
        <w:ind w:left="791"/>
        <w:rPr>
          <w:szCs w:val="36"/>
        </w:rPr>
      </w:pPr>
    </w:p>
    <w:p w:rsidR="00D7530A" w:rsidRPr="00D7530A" w:rsidRDefault="00D7530A" w:rsidP="00D7530A">
      <w:pPr>
        <w:pStyle w:val="Paragraphedeliste"/>
        <w:numPr>
          <w:ilvl w:val="0"/>
          <w:numId w:val="1"/>
        </w:numPr>
        <w:rPr>
          <w:szCs w:val="36"/>
        </w:rPr>
      </w:pPr>
      <w:r w:rsidRPr="00D7530A">
        <w:rPr>
          <w:b/>
          <w:bCs/>
          <w:i/>
          <w:iCs/>
          <w:szCs w:val="36"/>
        </w:rPr>
        <w:t>Acquisition</w:t>
      </w:r>
      <w:r w:rsidRPr="00D7530A">
        <w:rPr>
          <w:szCs w:val="36"/>
        </w:rPr>
        <w:t xml:space="preserve"> : des apex jusqu’aux pelvis. </w:t>
      </w:r>
    </w:p>
    <w:p w:rsidR="00D7530A" w:rsidRPr="00D7530A" w:rsidRDefault="00D7530A" w:rsidP="00D7530A">
      <w:pPr>
        <w:pStyle w:val="Paragraphedeliste"/>
        <w:numPr>
          <w:ilvl w:val="0"/>
          <w:numId w:val="12"/>
        </w:numPr>
        <w:rPr>
          <w:szCs w:val="36"/>
        </w:rPr>
      </w:pPr>
      <w:r w:rsidRPr="00D7530A">
        <w:rPr>
          <w:i/>
          <w:iCs/>
          <w:szCs w:val="36"/>
        </w:rPr>
        <w:t>Paramètres d’acquisition</w:t>
      </w:r>
      <w:r w:rsidRPr="00D7530A">
        <w:rPr>
          <w:szCs w:val="36"/>
        </w:rPr>
        <w:t> :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>kV : 120 (80-100 pour sujets jeunes, minces ou dans le cadre du suivi de la maladie)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>mA : modulation automatique de dose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D7530A">
        <w:rPr>
          <w:szCs w:val="36"/>
        </w:rPr>
        <w:t>mAs</w:t>
      </w:r>
      <w:proofErr w:type="spellEnd"/>
      <w:r w:rsidRPr="00D7530A">
        <w:rPr>
          <w:szCs w:val="36"/>
        </w:rPr>
        <w:t> : quantité suffisante pour rapport signal/bruit satisfaisant (respecter NRD)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>Champ de vue : adapté au patient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>Épaisseur de coupe : millimétrique ou infra millimétrique</w:t>
      </w:r>
    </w:p>
    <w:p w:rsidR="00D7530A" w:rsidRPr="00D7530A" w:rsidRDefault="00D7530A" w:rsidP="00D7530A">
      <w:pPr>
        <w:pStyle w:val="Paragraphedeliste"/>
        <w:numPr>
          <w:ilvl w:val="0"/>
          <w:numId w:val="2"/>
        </w:numPr>
        <w:rPr>
          <w:szCs w:val="36"/>
        </w:rPr>
      </w:pPr>
      <w:r w:rsidRPr="00D7530A">
        <w:rPr>
          <w:i/>
          <w:iCs/>
          <w:szCs w:val="36"/>
        </w:rPr>
        <w:t>Paramètres de reconstruction</w:t>
      </w:r>
      <w:r w:rsidRPr="00D7530A">
        <w:rPr>
          <w:szCs w:val="36"/>
        </w:rPr>
        <w:t> :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D7530A">
        <w:rPr>
          <w:szCs w:val="36"/>
        </w:rPr>
        <w:t>Recon</w:t>
      </w:r>
      <w:proofErr w:type="spellEnd"/>
      <w:r w:rsidRPr="00D7530A">
        <w:rPr>
          <w:szCs w:val="36"/>
        </w:rPr>
        <w:t>. parenchymateuse : filtre spatial dur, fenêtre parenchymateuse, épaisseur coupe &lt; mm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D7530A">
        <w:rPr>
          <w:szCs w:val="36"/>
        </w:rPr>
        <w:t>Recon</w:t>
      </w:r>
      <w:proofErr w:type="spellEnd"/>
      <w:r w:rsidRPr="00D7530A">
        <w:rPr>
          <w:szCs w:val="36"/>
        </w:rPr>
        <w:t xml:space="preserve">. </w:t>
      </w:r>
      <w:proofErr w:type="spellStart"/>
      <w:r w:rsidRPr="00D7530A">
        <w:rPr>
          <w:szCs w:val="36"/>
        </w:rPr>
        <w:t>médiastinale</w:t>
      </w:r>
      <w:proofErr w:type="spellEnd"/>
      <w:r w:rsidRPr="00D7530A">
        <w:rPr>
          <w:szCs w:val="36"/>
        </w:rPr>
        <w:t xml:space="preserve"> : filtre spatial mou, fenêtre </w:t>
      </w:r>
      <w:proofErr w:type="spellStart"/>
      <w:r w:rsidRPr="00D7530A">
        <w:rPr>
          <w:szCs w:val="36"/>
        </w:rPr>
        <w:t>médiastinale</w:t>
      </w:r>
      <w:proofErr w:type="spellEnd"/>
      <w:r w:rsidRPr="00D7530A">
        <w:rPr>
          <w:szCs w:val="36"/>
        </w:rPr>
        <w:t>, épaisseur coupe voisine du mm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D7530A">
        <w:rPr>
          <w:szCs w:val="36"/>
        </w:rPr>
        <w:t>Recon</w:t>
      </w:r>
      <w:proofErr w:type="spellEnd"/>
      <w:r w:rsidRPr="00D7530A">
        <w:rPr>
          <w:szCs w:val="36"/>
        </w:rPr>
        <w:t>. os : filtre spatial dur, fenêtre os, épaisseur de coupe voisine du mm</w:t>
      </w:r>
    </w:p>
    <w:p w:rsidR="00D7530A" w:rsidRPr="00D7530A" w:rsidRDefault="00D7530A" w:rsidP="00D7530A">
      <w:pPr>
        <w:pStyle w:val="Paragraphedeliste"/>
        <w:numPr>
          <w:ilvl w:val="0"/>
          <w:numId w:val="2"/>
        </w:numPr>
        <w:rPr>
          <w:szCs w:val="36"/>
        </w:rPr>
      </w:pPr>
      <w:r w:rsidRPr="00D7530A">
        <w:rPr>
          <w:szCs w:val="36"/>
        </w:rPr>
        <w:t xml:space="preserve">Injection de PCI : 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 xml:space="preserve">PDC : 1,5 à 2 </w:t>
      </w:r>
      <w:proofErr w:type="spellStart"/>
      <w:r w:rsidRPr="00D7530A">
        <w:rPr>
          <w:szCs w:val="36"/>
        </w:rPr>
        <w:t>mL</w:t>
      </w:r>
      <w:proofErr w:type="spellEnd"/>
      <w:r w:rsidRPr="00D7530A">
        <w:rPr>
          <w:szCs w:val="36"/>
        </w:rPr>
        <w:t xml:space="preserve">/kg 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 xml:space="preserve">Concentration : 300-400 </w:t>
      </w:r>
      <w:proofErr w:type="spellStart"/>
      <w:r w:rsidRPr="00D7530A">
        <w:rPr>
          <w:szCs w:val="36"/>
        </w:rPr>
        <w:t>mgI</w:t>
      </w:r>
      <w:proofErr w:type="spellEnd"/>
      <w:r w:rsidRPr="00D7530A">
        <w:rPr>
          <w:szCs w:val="36"/>
        </w:rPr>
        <w:t>/</w:t>
      </w:r>
      <w:proofErr w:type="spellStart"/>
      <w:r w:rsidRPr="00D7530A">
        <w:rPr>
          <w:szCs w:val="36"/>
        </w:rPr>
        <w:t>mL</w:t>
      </w:r>
      <w:proofErr w:type="spellEnd"/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 xml:space="preserve">Débit : 2 à 3 </w:t>
      </w:r>
      <w:proofErr w:type="spellStart"/>
      <w:r w:rsidRPr="00D7530A">
        <w:rPr>
          <w:szCs w:val="36"/>
        </w:rPr>
        <w:t>mL</w:t>
      </w:r>
      <w:proofErr w:type="spellEnd"/>
      <w:r w:rsidRPr="00D7530A">
        <w:rPr>
          <w:szCs w:val="36"/>
        </w:rPr>
        <w:t>/sec</w:t>
      </w:r>
    </w:p>
    <w:p w:rsidR="00D7530A" w:rsidRPr="00D7530A" w:rsidRDefault="00D7530A" w:rsidP="00D7530A">
      <w:pPr>
        <w:pStyle w:val="Paragraphedeliste"/>
        <w:numPr>
          <w:ilvl w:val="0"/>
          <w:numId w:val="5"/>
        </w:numPr>
        <w:rPr>
          <w:szCs w:val="36"/>
        </w:rPr>
      </w:pPr>
      <w:r w:rsidRPr="00D7530A">
        <w:rPr>
          <w:szCs w:val="36"/>
        </w:rPr>
        <w:t xml:space="preserve">Délai d’injection : 30 – 40 </w:t>
      </w:r>
      <w:proofErr w:type="gramStart"/>
      <w:r w:rsidRPr="00D7530A">
        <w:rPr>
          <w:szCs w:val="36"/>
        </w:rPr>
        <w:t>sec suivie</w:t>
      </w:r>
      <w:proofErr w:type="gramEnd"/>
      <w:r w:rsidRPr="00D7530A">
        <w:rPr>
          <w:szCs w:val="36"/>
        </w:rPr>
        <w:t xml:space="preserve"> d’une acquisition sur l’abdomen et le pelvis au temps portal et d’une acquisition sur l’encéphale à 5 minutes</w:t>
      </w:r>
    </w:p>
    <w:p w:rsidR="00D7530A" w:rsidRPr="00D7530A" w:rsidRDefault="00D7530A" w:rsidP="00D7530A">
      <w:pPr>
        <w:pStyle w:val="Paragraphedeliste"/>
        <w:ind w:left="1778"/>
        <w:rPr>
          <w:szCs w:val="36"/>
        </w:rPr>
      </w:pPr>
    </w:p>
    <w:p w:rsidR="00D7530A" w:rsidRPr="00D7530A" w:rsidRDefault="00D7530A" w:rsidP="00D7530A">
      <w:pPr>
        <w:pStyle w:val="Paragraphedeliste"/>
        <w:numPr>
          <w:ilvl w:val="0"/>
          <w:numId w:val="4"/>
        </w:numPr>
        <w:rPr>
          <w:szCs w:val="36"/>
        </w:rPr>
      </w:pPr>
      <w:r w:rsidRPr="00D7530A">
        <w:rPr>
          <w:b/>
          <w:bCs/>
          <w:i/>
          <w:iCs/>
          <w:szCs w:val="36"/>
        </w:rPr>
        <w:t xml:space="preserve">Situations particulières </w:t>
      </w:r>
      <w:r w:rsidRPr="00D7530A">
        <w:rPr>
          <w:szCs w:val="36"/>
        </w:rPr>
        <w:t>:</w:t>
      </w:r>
    </w:p>
    <w:p w:rsidR="00D7530A" w:rsidRPr="00D7530A" w:rsidRDefault="00D7530A" w:rsidP="00D7530A">
      <w:pPr>
        <w:pStyle w:val="Paragraphedeliste"/>
        <w:numPr>
          <w:ilvl w:val="0"/>
          <w:numId w:val="2"/>
        </w:numPr>
        <w:rPr>
          <w:szCs w:val="36"/>
        </w:rPr>
      </w:pPr>
      <w:r w:rsidRPr="00D7530A">
        <w:rPr>
          <w:i/>
          <w:iCs/>
          <w:szCs w:val="36"/>
        </w:rPr>
        <w:t xml:space="preserve">Syndrome de </w:t>
      </w:r>
      <w:proofErr w:type="spellStart"/>
      <w:r w:rsidRPr="00D7530A">
        <w:rPr>
          <w:i/>
          <w:iCs/>
          <w:szCs w:val="36"/>
        </w:rPr>
        <w:t>Pancoast</w:t>
      </w:r>
      <w:proofErr w:type="spellEnd"/>
      <w:r w:rsidRPr="00D7530A">
        <w:rPr>
          <w:i/>
          <w:iCs/>
          <w:szCs w:val="36"/>
        </w:rPr>
        <w:t>-Tobias</w:t>
      </w:r>
      <w:r w:rsidRPr="00D7530A">
        <w:rPr>
          <w:szCs w:val="36"/>
        </w:rPr>
        <w:t> : acquisition englobant la base du cou</w:t>
      </w:r>
    </w:p>
    <w:p w:rsidR="00D7530A" w:rsidRPr="00D7530A" w:rsidRDefault="00D7530A" w:rsidP="00D7530A">
      <w:pPr>
        <w:pStyle w:val="Paragraphedeliste"/>
        <w:numPr>
          <w:ilvl w:val="0"/>
          <w:numId w:val="2"/>
        </w:numPr>
        <w:rPr>
          <w:color w:val="000000" w:themeColor="text1"/>
          <w:szCs w:val="36"/>
        </w:rPr>
      </w:pPr>
      <w:r w:rsidRPr="00D7530A">
        <w:rPr>
          <w:i/>
          <w:iCs/>
          <w:color w:val="000000" w:themeColor="text1"/>
          <w:szCs w:val="36"/>
        </w:rPr>
        <w:t>Syndrome cave</w:t>
      </w:r>
      <w:r w:rsidRPr="00D7530A">
        <w:rPr>
          <w:color w:val="000000" w:themeColor="text1"/>
          <w:szCs w:val="36"/>
        </w:rPr>
        <w:t xml:space="preserve">-supérieur : acquisition à 120 </w:t>
      </w:r>
      <w:proofErr w:type="gramStart"/>
      <w:r w:rsidRPr="00D7530A">
        <w:rPr>
          <w:color w:val="000000" w:themeColor="text1"/>
          <w:szCs w:val="36"/>
        </w:rPr>
        <w:t>sec</w:t>
      </w:r>
      <w:proofErr w:type="gramEnd"/>
    </w:p>
    <w:p w:rsidR="00D7530A" w:rsidRPr="00D7530A" w:rsidRDefault="00D7530A" w:rsidP="00D7530A">
      <w:pPr>
        <w:pStyle w:val="Paragraphedeliste"/>
        <w:numPr>
          <w:ilvl w:val="0"/>
          <w:numId w:val="2"/>
        </w:numPr>
        <w:rPr>
          <w:szCs w:val="36"/>
        </w:rPr>
      </w:pPr>
      <w:r w:rsidRPr="00D7530A">
        <w:rPr>
          <w:i/>
          <w:iCs/>
          <w:szCs w:val="36"/>
        </w:rPr>
        <w:t xml:space="preserve">Exploration des surrénales au préalable dans le cadre du bilan initial </w:t>
      </w:r>
      <w:r w:rsidRPr="00D7530A">
        <w:rPr>
          <w:szCs w:val="36"/>
        </w:rPr>
        <w:t>: acquisition sans injection de PCI à l’étage sus-</w:t>
      </w:r>
      <w:proofErr w:type="spellStart"/>
      <w:r w:rsidRPr="00D7530A">
        <w:rPr>
          <w:szCs w:val="36"/>
        </w:rPr>
        <w:t>mésocolique</w:t>
      </w:r>
      <w:proofErr w:type="spellEnd"/>
      <w:r w:rsidRPr="00D7530A">
        <w:rPr>
          <w:szCs w:val="36"/>
        </w:rPr>
        <w:t xml:space="preserve"> </w:t>
      </w:r>
    </w:p>
    <w:p w:rsidR="00D7530A" w:rsidRPr="00D7530A" w:rsidRDefault="00D7530A" w:rsidP="00D7530A">
      <w:pPr>
        <w:rPr>
          <w:szCs w:val="36"/>
        </w:rPr>
      </w:pPr>
    </w:p>
    <w:p w:rsidR="00D7530A" w:rsidRPr="00D7530A" w:rsidRDefault="00D7530A" w:rsidP="00D7530A">
      <w:pPr>
        <w:rPr>
          <w:b/>
          <w:bCs/>
          <w:color w:val="002060"/>
          <w:szCs w:val="36"/>
        </w:rPr>
      </w:pPr>
      <w:r w:rsidRPr="00D7530A">
        <w:rPr>
          <w:b/>
          <w:bCs/>
          <w:color w:val="002060"/>
          <w:szCs w:val="36"/>
        </w:rPr>
        <w:t>COMPTE RENDU :</w:t>
      </w:r>
    </w:p>
    <w:p w:rsidR="00D7530A" w:rsidRPr="00D7530A" w:rsidRDefault="00D7530A" w:rsidP="00D7530A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D7530A">
        <w:rPr>
          <w:bCs/>
          <w:color w:val="000000" w:themeColor="text1"/>
          <w:szCs w:val="36"/>
        </w:rPr>
        <w:t xml:space="preserve">Suivre l’ordre de la classification TNM : aide à établir l’opérabilité et la </w:t>
      </w:r>
      <w:proofErr w:type="spellStart"/>
      <w:r w:rsidRPr="00D7530A">
        <w:rPr>
          <w:bCs/>
          <w:color w:val="000000" w:themeColor="text1"/>
          <w:szCs w:val="36"/>
        </w:rPr>
        <w:t>résécabilité</w:t>
      </w:r>
      <w:proofErr w:type="spellEnd"/>
    </w:p>
    <w:p w:rsidR="00D7530A" w:rsidRPr="00D7530A" w:rsidRDefault="00D7530A" w:rsidP="00D7530A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D7530A">
        <w:rPr>
          <w:bCs/>
          <w:color w:val="000000" w:themeColor="text1"/>
          <w:szCs w:val="36"/>
        </w:rPr>
        <w:t>T :</w:t>
      </w:r>
    </w:p>
    <w:p w:rsidR="00D7530A" w:rsidRPr="00D7530A" w:rsidRDefault="00D7530A" w:rsidP="00D7530A">
      <w:pPr>
        <w:pStyle w:val="Paragraphedeliste"/>
        <w:numPr>
          <w:ilvl w:val="0"/>
          <w:numId w:val="13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 xml:space="preserve">Décrire la tumeur, la localiser, la mesurer, analyser les contacts ou envahissements de la masse, </w:t>
      </w:r>
    </w:p>
    <w:p w:rsidR="00D7530A" w:rsidRPr="00D7530A" w:rsidRDefault="00D7530A" w:rsidP="00D7530A">
      <w:pPr>
        <w:pStyle w:val="Paragraphedeliste"/>
        <w:numPr>
          <w:ilvl w:val="0"/>
          <w:numId w:val="13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>Noter les nodules dans le même poumon que la tumeur principale  (T4)</w:t>
      </w:r>
    </w:p>
    <w:p w:rsidR="00D7530A" w:rsidRPr="00D7530A" w:rsidRDefault="00D7530A" w:rsidP="00D7530A">
      <w:pPr>
        <w:pStyle w:val="Paragraphedeliste"/>
        <w:numPr>
          <w:ilvl w:val="0"/>
          <w:numId w:val="13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 xml:space="preserve">Noter une atteinte pleurale homolatérale </w:t>
      </w:r>
    </w:p>
    <w:p w:rsidR="00D7530A" w:rsidRPr="00D7530A" w:rsidRDefault="00D7530A" w:rsidP="00D7530A">
      <w:pPr>
        <w:pStyle w:val="Paragraphedeliste"/>
        <w:numPr>
          <w:ilvl w:val="0"/>
          <w:numId w:val="14"/>
        </w:numPr>
        <w:rPr>
          <w:bCs/>
          <w:color w:val="000000" w:themeColor="text1"/>
          <w:szCs w:val="36"/>
        </w:rPr>
      </w:pPr>
      <w:r w:rsidRPr="00D7530A">
        <w:rPr>
          <w:bCs/>
          <w:color w:val="000000" w:themeColor="text1"/>
          <w:szCs w:val="36"/>
        </w:rPr>
        <w:t>N :</w:t>
      </w:r>
    </w:p>
    <w:p w:rsidR="00D7530A" w:rsidRPr="00D7530A" w:rsidRDefault="00D7530A" w:rsidP="00D7530A">
      <w:pPr>
        <w:pStyle w:val="Paragraphedeliste"/>
        <w:numPr>
          <w:ilvl w:val="0"/>
          <w:numId w:val="15"/>
        </w:numPr>
        <w:rPr>
          <w:bCs/>
          <w:color w:val="000000" w:themeColor="text1"/>
          <w:szCs w:val="36"/>
        </w:rPr>
      </w:pPr>
      <w:proofErr w:type="spellStart"/>
      <w:r w:rsidRPr="00D7530A">
        <w:rPr>
          <w:szCs w:val="36"/>
        </w:rPr>
        <w:t>Adénomégalies</w:t>
      </w:r>
      <w:proofErr w:type="spellEnd"/>
      <w:r w:rsidRPr="00D7530A">
        <w:rPr>
          <w:szCs w:val="36"/>
        </w:rPr>
        <w:t xml:space="preserve"> hilaires homolatérales (N1) ou controlatérales (N3)</w:t>
      </w:r>
    </w:p>
    <w:p w:rsidR="00D7530A" w:rsidRPr="00D7530A" w:rsidRDefault="00D7530A" w:rsidP="00D7530A">
      <w:pPr>
        <w:pStyle w:val="Paragraphedeliste"/>
        <w:numPr>
          <w:ilvl w:val="0"/>
          <w:numId w:val="15"/>
        </w:numPr>
        <w:rPr>
          <w:bCs/>
          <w:color w:val="000000" w:themeColor="text1"/>
          <w:szCs w:val="36"/>
        </w:rPr>
      </w:pPr>
      <w:proofErr w:type="spellStart"/>
      <w:r w:rsidRPr="00D7530A">
        <w:rPr>
          <w:szCs w:val="36"/>
        </w:rPr>
        <w:lastRenderedPageBreak/>
        <w:t>Adénomégalies</w:t>
      </w:r>
      <w:proofErr w:type="spellEnd"/>
      <w:r w:rsidRPr="00D7530A">
        <w:rPr>
          <w:szCs w:val="36"/>
        </w:rPr>
        <w:t xml:space="preserve"> </w:t>
      </w:r>
      <w:proofErr w:type="spellStart"/>
      <w:r w:rsidRPr="00D7530A">
        <w:rPr>
          <w:szCs w:val="36"/>
        </w:rPr>
        <w:t>médiastinales</w:t>
      </w:r>
      <w:proofErr w:type="spellEnd"/>
      <w:r w:rsidRPr="00D7530A">
        <w:rPr>
          <w:szCs w:val="36"/>
        </w:rPr>
        <w:t xml:space="preserve"> homolatérales (N2) ou controlatérales (N3)</w:t>
      </w:r>
    </w:p>
    <w:p w:rsidR="00D7530A" w:rsidRPr="00D7530A" w:rsidRDefault="00D7530A" w:rsidP="00D7530A">
      <w:pPr>
        <w:pStyle w:val="Paragraphedeliste"/>
        <w:numPr>
          <w:ilvl w:val="0"/>
          <w:numId w:val="15"/>
        </w:numPr>
        <w:rPr>
          <w:bCs/>
          <w:color w:val="000000" w:themeColor="text1"/>
          <w:szCs w:val="36"/>
        </w:rPr>
      </w:pPr>
      <w:proofErr w:type="spellStart"/>
      <w:r w:rsidRPr="00D7530A">
        <w:rPr>
          <w:szCs w:val="36"/>
        </w:rPr>
        <w:t>Adénomégalies</w:t>
      </w:r>
      <w:proofErr w:type="spellEnd"/>
      <w:r w:rsidRPr="00D7530A">
        <w:rPr>
          <w:szCs w:val="36"/>
        </w:rPr>
        <w:t xml:space="preserve"> sous-</w:t>
      </w:r>
      <w:proofErr w:type="spellStart"/>
      <w:r w:rsidRPr="00D7530A">
        <w:rPr>
          <w:szCs w:val="36"/>
        </w:rPr>
        <w:t>carènaires</w:t>
      </w:r>
      <w:proofErr w:type="spellEnd"/>
      <w:r w:rsidRPr="00D7530A">
        <w:rPr>
          <w:szCs w:val="36"/>
        </w:rPr>
        <w:t xml:space="preserve"> (N2)</w:t>
      </w:r>
    </w:p>
    <w:p w:rsidR="00D7530A" w:rsidRPr="00D7530A" w:rsidRDefault="00D7530A" w:rsidP="00D7530A">
      <w:pPr>
        <w:pStyle w:val="Paragraphedeliste"/>
        <w:numPr>
          <w:ilvl w:val="0"/>
          <w:numId w:val="15"/>
        </w:numPr>
        <w:rPr>
          <w:bCs/>
          <w:color w:val="000000" w:themeColor="text1"/>
          <w:szCs w:val="36"/>
        </w:rPr>
      </w:pPr>
      <w:proofErr w:type="spellStart"/>
      <w:r w:rsidRPr="00D7530A">
        <w:rPr>
          <w:szCs w:val="36"/>
        </w:rPr>
        <w:t>Adénomégalies</w:t>
      </w:r>
      <w:proofErr w:type="spellEnd"/>
      <w:r w:rsidRPr="00D7530A">
        <w:rPr>
          <w:szCs w:val="36"/>
        </w:rPr>
        <w:t xml:space="preserve"> sus claviculaires homo ou controlatérales (N3). </w:t>
      </w:r>
    </w:p>
    <w:p w:rsidR="00D7530A" w:rsidRPr="00D7530A" w:rsidRDefault="00D7530A" w:rsidP="00D7530A">
      <w:pPr>
        <w:pStyle w:val="Paragraphedeliste"/>
        <w:numPr>
          <w:ilvl w:val="0"/>
          <w:numId w:val="14"/>
        </w:numPr>
        <w:rPr>
          <w:bCs/>
          <w:color w:val="000000" w:themeColor="text1"/>
          <w:szCs w:val="36"/>
        </w:rPr>
      </w:pPr>
      <w:r w:rsidRPr="00D7530A">
        <w:rPr>
          <w:bCs/>
          <w:color w:val="000000" w:themeColor="text1"/>
          <w:szCs w:val="36"/>
        </w:rPr>
        <w:t xml:space="preserve">M : </w:t>
      </w:r>
    </w:p>
    <w:p w:rsidR="00D7530A" w:rsidRPr="00D7530A" w:rsidRDefault="00D7530A" w:rsidP="00D7530A">
      <w:pPr>
        <w:pStyle w:val="Paragraphedeliste"/>
        <w:numPr>
          <w:ilvl w:val="0"/>
          <w:numId w:val="16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>Métastase intra-thoracique (nodule controlatéral, pleurésie, péricardite maligne) (M1a)</w:t>
      </w:r>
    </w:p>
    <w:p w:rsidR="00D7530A" w:rsidRPr="00D7530A" w:rsidRDefault="00D7530A" w:rsidP="00D7530A">
      <w:pPr>
        <w:pStyle w:val="Paragraphedeliste"/>
        <w:numPr>
          <w:ilvl w:val="0"/>
          <w:numId w:val="16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 xml:space="preserve">Métastase extra-thoracique unique (statut </w:t>
      </w:r>
      <w:proofErr w:type="spellStart"/>
      <w:r w:rsidRPr="00D7530A">
        <w:rPr>
          <w:szCs w:val="36"/>
        </w:rPr>
        <w:t>oligo</w:t>
      </w:r>
      <w:proofErr w:type="spellEnd"/>
      <w:r w:rsidRPr="00D7530A">
        <w:rPr>
          <w:szCs w:val="36"/>
        </w:rPr>
        <w:t>-métastatique) (M1b)</w:t>
      </w:r>
    </w:p>
    <w:p w:rsidR="00D7530A" w:rsidRPr="00D7530A" w:rsidRDefault="00D7530A" w:rsidP="00D7530A">
      <w:pPr>
        <w:pStyle w:val="Paragraphedeliste"/>
        <w:numPr>
          <w:ilvl w:val="0"/>
          <w:numId w:val="16"/>
        </w:numPr>
        <w:rPr>
          <w:bCs/>
          <w:color w:val="000000" w:themeColor="text1"/>
          <w:szCs w:val="36"/>
        </w:rPr>
      </w:pPr>
      <w:r w:rsidRPr="00D7530A">
        <w:rPr>
          <w:szCs w:val="36"/>
        </w:rPr>
        <w:t>Métastase extra-thoracique multiple (M1c)</w:t>
      </w:r>
    </w:p>
    <w:p w:rsidR="00D7530A" w:rsidRPr="00825A79" w:rsidRDefault="00D7530A" w:rsidP="00D7530A">
      <w:pPr>
        <w:ind w:left="1428"/>
        <w:rPr>
          <w:bCs/>
          <w:color w:val="000000" w:themeColor="text1"/>
          <w:sz w:val="36"/>
          <w:szCs w:val="36"/>
        </w:rPr>
      </w:pPr>
    </w:p>
    <w:p w:rsidR="00D7530A" w:rsidRPr="00825A79" w:rsidRDefault="00D7530A" w:rsidP="00D7530A">
      <w:pPr>
        <w:ind w:left="1428"/>
        <w:rPr>
          <w:bCs/>
          <w:color w:val="000000" w:themeColor="text1"/>
          <w:sz w:val="36"/>
          <w:szCs w:val="36"/>
        </w:rPr>
      </w:pPr>
    </w:p>
    <w:p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8B" w:rsidRDefault="00B95C8B" w:rsidP="00631563">
      <w:r>
        <w:separator/>
      </w:r>
    </w:p>
  </w:endnote>
  <w:endnote w:type="continuationSeparator" w:id="0">
    <w:p w:rsidR="00B95C8B" w:rsidRDefault="00B95C8B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8B" w:rsidRDefault="00B95C8B" w:rsidP="00631563">
      <w:r>
        <w:separator/>
      </w:r>
    </w:p>
  </w:footnote>
  <w:footnote w:type="continuationSeparator" w:id="0">
    <w:p w:rsidR="00B95C8B" w:rsidRDefault="00B95C8B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E175B"/>
    <w:rsid w:val="00102FE2"/>
    <w:rsid w:val="00116D10"/>
    <w:rsid w:val="00145BE8"/>
    <w:rsid w:val="001603F7"/>
    <w:rsid w:val="0017691D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6165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811CE"/>
    <w:rsid w:val="00B95C8B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7530A"/>
    <w:rsid w:val="00DA0FF2"/>
    <w:rsid w:val="00DC5F27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3</cp:revision>
  <dcterms:created xsi:type="dcterms:W3CDTF">2021-04-17T09:43:00Z</dcterms:created>
  <dcterms:modified xsi:type="dcterms:W3CDTF">2021-04-21T15:24:00Z</dcterms:modified>
</cp:coreProperties>
</file>