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64" w:rsidRPr="00A743E2" w:rsidRDefault="00F37B76" w:rsidP="006D6432">
      <w:pPr>
        <w:ind w:left="708" w:firstLine="708"/>
        <w:jc w:val="center"/>
        <w:rPr>
          <w:b/>
          <w:color w:val="005493"/>
          <w:sz w:val="32"/>
        </w:rPr>
      </w:pPr>
      <w:r w:rsidRPr="00A743E2">
        <w:rPr>
          <w:b/>
          <w:color w:val="005493"/>
          <w:sz w:val="32"/>
        </w:rPr>
        <w:t>Protocoles d’imagerie thoracique</w:t>
      </w:r>
    </w:p>
    <w:p w:rsidR="00FF1608" w:rsidRPr="00FF1608" w:rsidRDefault="00FF1608" w:rsidP="006D6432">
      <w:pPr>
        <w:ind w:left="708" w:firstLine="708"/>
        <w:jc w:val="center"/>
        <w:rPr>
          <w:b/>
          <w:color w:val="005493"/>
        </w:rPr>
      </w:pPr>
    </w:p>
    <w:p w:rsidR="00881EF4" w:rsidRPr="003D01C7" w:rsidRDefault="00881EF4" w:rsidP="00881EF4">
      <w:pPr>
        <w:jc w:val="center"/>
        <w:rPr>
          <w:b/>
          <w:bCs/>
          <w:color w:val="002060"/>
          <w:sz w:val="44"/>
          <w:szCs w:val="44"/>
        </w:rPr>
      </w:pPr>
      <w:r w:rsidRPr="00881EF4">
        <w:rPr>
          <w:b/>
          <w:bCs/>
          <w:color w:val="002060"/>
          <w:sz w:val="32"/>
          <w:szCs w:val="44"/>
        </w:rPr>
        <w:t>DRAINAGE D’UN EMPYÈME GUIDÉ PAR SCANNER</w:t>
      </w:r>
    </w:p>
    <w:p w:rsidR="00881EF4" w:rsidRDefault="00881EF4" w:rsidP="00881EF4">
      <w:pPr>
        <w:jc w:val="center"/>
        <w:rPr>
          <w:sz w:val="36"/>
          <w:szCs w:val="36"/>
        </w:rPr>
      </w:pPr>
    </w:p>
    <w:p w:rsidR="00E523FA" w:rsidRPr="00E523FA" w:rsidRDefault="00E523FA" w:rsidP="00E523FA">
      <w:pPr>
        <w:rPr>
          <w:b/>
          <w:bCs/>
          <w:color w:val="002060"/>
          <w:szCs w:val="36"/>
        </w:rPr>
      </w:pPr>
      <w:r w:rsidRPr="00E523FA">
        <w:rPr>
          <w:b/>
          <w:bCs/>
          <w:color w:val="002060"/>
          <w:szCs w:val="36"/>
        </w:rPr>
        <w:t xml:space="preserve">INTRODUCTION : </w:t>
      </w:r>
    </w:p>
    <w:p w:rsidR="00E523FA" w:rsidRPr="00E523FA" w:rsidRDefault="00E523FA" w:rsidP="00E523FA">
      <w:pPr>
        <w:pStyle w:val="Paragraphedeliste"/>
        <w:numPr>
          <w:ilvl w:val="0"/>
          <w:numId w:val="1"/>
        </w:numPr>
        <w:rPr>
          <w:szCs w:val="36"/>
        </w:rPr>
      </w:pPr>
      <w:r w:rsidRPr="00E523FA">
        <w:rPr>
          <w:szCs w:val="36"/>
        </w:rPr>
        <w:t>Le scanner permet de guider la mise en place d’un drain intra-thoracique en position la plus déclive et la plus caudale possible</w:t>
      </w:r>
    </w:p>
    <w:p w:rsidR="00E523FA" w:rsidRPr="00E523FA" w:rsidRDefault="00E523FA" w:rsidP="00E523FA">
      <w:pPr>
        <w:rPr>
          <w:szCs w:val="36"/>
        </w:rPr>
      </w:pPr>
    </w:p>
    <w:p w:rsidR="00E523FA" w:rsidRPr="00E523FA" w:rsidRDefault="00E523FA" w:rsidP="00E523FA">
      <w:pPr>
        <w:rPr>
          <w:b/>
          <w:bCs/>
          <w:color w:val="002060"/>
          <w:szCs w:val="36"/>
        </w:rPr>
      </w:pPr>
      <w:r w:rsidRPr="00E523FA">
        <w:rPr>
          <w:b/>
          <w:bCs/>
          <w:color w:val="002060"/>
          <w:szCs w:val="36"/>
        </w:rPr>
        <w:t>TECHNIQUES :</w:t>
      </w:r>
    </w:p>
    <w:p w:rsidR="00E523FA" w:rsidRPr="00E523FA" w:rsidRDefault="00E523FA" w:rsidP="00E523FA">
      <w:pPr>
        <w:pStyle w:val="Paragraphedeliste"/>
        <w:numPr>
          <w:ilvl w:val="0"/>
          <w:numId w:val="1"/>
        </w:numPr>
        <w:rPr>
          <w:szCs w:val="36"/>
        </w:rPr>
      </w:pPr>
      <w:r w:rsidRPr="00E523FA">
        <w:rPr>
          <w:b/>
          <w:bCs/>
          <w:i/>
          <w:iCs/>
          <w:szCs w:val="36"/>
        </w:rPr>
        <w:t>Préparation</w:t>
      </w:r>
      <w:r w:rsidRPr="00E523FA">
        <w:rPr>
          <w:szCs w:val="36"/>
        </w:rPr>
        <w:t xml:space="preserve"> : </w:t>
      </w:r>
    </w:p>
    <w:p w:rsidR="00E523FA" w:rsidRPr="00E523FA" w:rsidRDefault="00E523FA" w:rsidP="00E523FA">
      <w:pPr>
        <w:pStyle w:val="Paragraphedeliste"/>
        <w:numPr>
          <w:ilvl w:val="0"/>
          <w:numId w:val="8"/>
        </w:numPr>
        <w:rPr>
          <w:szCs w:val="36"/>
        </w:rPr>
      </w:pPr>
      <w:r w:rsidRPr="00E523FA">
        <w:rPr>
          <w:szCs w:val="36"/>
        </w:rPr>
        <w:t xml:space="preserve">Vérifier l’arrêt ou le relais du traitement anticoagulant en concertation avec le médecin prescripteur (héparine arrêtée depuis 4 heures, AVK relayé par de l’héparine). Ponction possible sous </w:t>
      </w:r>
      <w:proofErr w:type="spellStart"/>
      <w:r w:rsidRPr="00E523FA">
        <w:rPr>
          <w:szCs w:val="36"/>
        </w:rPr>
        <w:t>Kardegic</w:t>
      </w:r>
      <w:proofErr w:type="spellEnd"/>
    </w:p>
    <w:p w:rsidR="00E523FA" w:rsidRPr="00E523FA" w:rsidRDefault="00E523FA" w:rsidP="00E523FA">
      <w:pPr>
        <w:pStyle w:val="Paragraphedeliste"/>
        <w:numPr>
          <w:ilvl w:val="0"/>
          <w:numId w:val="8"/>
        </w:numPr>
        <w:rPr>
          <w:szCs w:val="36"/>
        </w:rPr>
      </w:pPr>
      <w:r w:rsidRPr="00E523FA">
        <w:rPr>
          <w:szCs w:val="36"/>
        </w:rPr>
        <w:t>Vérifier l’hémostase</w:t>
      </w:r>
    </w:p>
    <w:p w:rsidR="00E523FA" w:rsidRPr="00E523FA" w:rsidRDefault="00E523FA" w:rsidP="00E523FA">
      <w:pPr>
        <w:pStyle w:val="Paragraphedeliste"/>
        <w:numPr>
          <w:ilvl w:val="0"/>
          <w:numId w:val="8"/>
        </w:numPr>
        <w:rPr>
          <w:szCs w:val="36"/>
        </w:rPr>
      </w:pPr>
      <w:r w:rsidRPr="00E523FA">
        <w:rPr>
          <w:szCs w:val="36"/>
        </w:rPr>
        <w:t xml:space="preserve">Prémédication conseillée : Perfalgan IV </w:t>
      </w:r>
      <w:proofErr w:type="gramStart"/>
      <w:r w:rsidRPr="00E523FA">
        <w:rPr>
          <w:szCs w:val="36"/>
        </w:rPr>
        <w:t>1g</w:t>
      </w:r>
      <w:proofErr w:type="gramEnd"/>
      <w:r w:rsidRPr="00E523FA">
        <w:rPr>
          <w:szCs w:val="36"/>
        </w:rPr>
        <w:t xml:space="preserve"> 1 heure avant le geste</w:t>
      </w:r>
    </w:p>
    <w:p w:rsidR="00E523FA" w:rsidRPr="00E523FA" w:rsidRDefault="00E523FA" w:rsidP="00E523FA">
      <w:pPr>
        <w:pStyle w:val="Paragraphedeliste"/>
        <w:numPr>
          <w:ilvl w:val="0"/>
          <w:numId w:val="8"/>
        </w:numPr>
        <w:rPr>
          <w:szCs w:val="36"/>
        </w:rPr>
      </w:pPr>
      <w:r w:rsidRPr="00E523FA">
        <w:rPr>
          <w:szCs w:val="36"/>
        </w:rPr>
        <w:t>Patient amené au scanner en lit</w:t>
      </w:r>
    </w:p>
    <w:p w:rsidR="00E523FA" w:rsidRPr="00E523FA" w:rsidRDefault="00E523FA" w:rsidP="00E523FA">
      <w:pPr>
        <w:pStyle w:val="Paragraphedeliste"/>
        <w:numPr>
          <w:ilvl w:val="0"/>
          <w:numId w:val="8"/>
        </w:numPr>
        <w:rPr>
          <w:szCs w:val="36"/>
        </w:rPr>
      </w:pPr>
      <w:r w:rsidRPr="00E523FA">
        <w:rPr>
          <w:szCs w:val="36"/>
        </w:rPr>
        <w:t xml:space="preserve">VVP, scope pour surveillance des paramètres </w:t>
      </w:r>
    </w:p>
    <w:p w:rsidR="00E523FA" w:rsidRPr="00E523FA" w:rsidRDefault="00E523FA" w:rsidP="00E523FA">
      <w:pPr>
        <w:ind w:left="431"/>
        <w:rPr>
          <w:szCs w:val="36"/>
        </w:rPr>
      </w:pPr>
    </w:p>
    <w:p w:rsidR="00E523FA" w:rsidRPr="00E523FA" w:rsidRDefault="00E523FA" w:rsidP="00E523FA">
      <w:pPr>
        <w:pStyle w:val="Paragraphedeliste"/>
        <w:numPr>
          <w:ilvl w:val="0"/>
          <w:numId w:val="1"/>
        </w:numPr>
        <w:rPr>
          <w:szCs w:val="36"/>
        </w:rPr>
      </w:pPr>
      <w:r w:rsidRPr="00E523FA">
        <w:rPr>
          <w:b/>
          <w:bCs/>
          <w:i/>
          <w:iCs/>
          <w:szCs w:val="36"/>
        </w:rPr>
        <w:t>Positionnement et acquisition</w:t>
      </w:r>
      <w:r w:rsidRPr="00E523FA">
        <w:rPr>
          <w:szCs w:val="36"/>
        </w:rPr>
        <w:t xml:space="preserve"> : </w:t>
      </w:r>
    </w:p>
    <w:p w:rsidR="00E523FA" w:rsidRPr="00E523FA" w:rsidRDefault="00E523FA" w:rsidP="00E523FA">
      <w:pPr>
        <w:pStyle w:val="Paragraphedeliste"/>
        <w:numPr>
          <w:ilvl w:val="0"/>
          <w:numId w:val="7"/>
        </w:numPr>
        <w:rPr>
          <w:szCs w:val="36"/>
        </w:rPr>
      </w:pPr>
      <w:r w:rsidRPr="00E523FA">
        <w:rPr>
          <w:szCs w:val="36"/>
        </w:rPr>
        <w:t>Positionnement du patient en fonction de la voie d’abord : préférer un abord latéral permettant d’éviter que le patient ne soit couché sur son drain</w:t>
      </w:r>
    </w:p>
    <w:p w:rsidR="00E523FA" w:rsidRPr="00E523FA" w:rsidRDefault="00E523FA" w:rsidP="00E523FA">
      <w:pPr>
        <w:pStyle w:val="Paragraphedeliste"/>
        <w:numPr>
          <w:ilvl w:val="0"/>
          <w:numId w:val="7"/>
        </w:numPr>
        <w:rPr>
          <w:szCs w:val="36"/>
        </w:rPr>
      </w:pPr>
      <w:r w:rsidRPr="00E523FA">
        <w:rPr>
          <w:szCs w:val="36"/>
        </w:rPr>
        <w:t>Repérage de la collection : acquisition hélicoïdale</w:t>
      </w:r>
    </w:p>
    <w:p w:rsidR="00E523FA" w:rsidRPr="00E523FA" w:rsidRDefault="00E523FA" w:rsidP="00E523FA">
      <w:pPr>
        <w:pStyle w:val="Paragraphedeliste"/>
        <w:numPr>
          <w:ilvl w:val="0"/>
          <w:numId w:val="7"/>
        </w:numPr>
        <w:rPr>
          <w:szCs w:val="36"/>
        </w:rPr>
      </w:pPr>
      <w:r w:rsidRPr="00E523FA">
        <w:rPr>
          <w:szCs w:val="36"/>
        </w:rPr>
        <w:t>Coupes axiales ou courte hélice basse dose et en respiration lente dépassant la cible de part et d’autre. On répétera ces repérages jusqu’à ce que la cible soit atteinte</w:t>
      </w:r>
    </w:p>
    <w:p w:rsidR="00E523FA" w:rsidRPr="00E523FA" w:rsidRDefault="00E523FA" w:rsidP="00E523FA">
      <w:pPr>
        <w:pStyle w:val="Paragraphedeliste"/>
        <w:numPr>
          <w:ilvl w:val="0"/>
          <w:numId w:val="7"/>
        </w:numPr>
        <w:rPr>
          <w:szCs w:val="36"/>
        </w:rPr>
      </w:pPr>
      <w:r w:rsidRPr="00E523FA">
        <w:rPr>
          <w:szCs w:val="36"/>
        </w:rPr>
        <w:t>Le repérage du point d’entrée cutané sera fait à la peau du patient (laser, trombone…)</w:t>
      </w:r>
    </w:p>
    <w:p w:rsidR="00E523FA" w:rsidRPr="00E523FA" w:rsidRDefault="00E523FA" w:rsidP="00E523FA">
      <w:pPr>
        <w:pStyle w:val="Paragraphedeliste"/>
        <w:ind w:left="791"/>
        <w:rPr>
          <w:szCs w:val="36"/>
        </w:rPr>
      </w:pPr>
    </w:p>
    <w:p w:rsidR="00E523FA" w:rsidRPr="00E523FA" w:rsidRDefault="00E523FA" w:rsidP="00E523FA">
      <w:pPr>
        <w:pStyle w:val="Paragraphedeliste"/>
        <w:numPr>
          <w:ilvl w:val="0"/>
          <w:numId w:val="1"/>
        </w:numPr>
        <w:rPr>
          <w:szCs w:val="36"/>
        </w:rPr>
      </w:pPr>
      <w:r w:rsidRPr="00E523FA">
        <w:rPr>
          <w:b/>
          <w:bCs/>
          <w:i/>
          <w:iCs/>
          <w:szCs w:val="36"/>
        </w:rPr>
        <w:t>Drainage</w:t>
      </w:r>
      <w:r w:rsidRPr="00E523FA">
        <w:rPr>
          <w:szCs w:val="36"/>
        </w:rPr>
        <w:t xml:space="preserve"> : </w:t>
      </w:r>
    </w:p>
    <w:p w:rsidR="00E523FA" w:rsidRPr="00E523FA" w:rsidRDefault="00E523FA" w:rsidP="00E523FA">
      <w:pPr>
        <w:pStyle w:val="Paragraphedeliste"/>
        <w:numPr>
          <w:ilvl w:val="0"/>
          <w:numId w:val="2"/>
        </w:numPr>
        <w:rPr>
          <w:szCs w:val="36"/>
        </w:rPr>
      </w:pPr>
      <w:r w:rsidRPr="00E523FA">
        <w:rPr>
          <w:szCs w:val="36"/>
        </w:rPr>
        <w:t>Soit avec la scopie scanner soit en répétant l’acquisition de repérage mais en dégradant la qualité de l’image afin de diminuer la dose</w:t>
      </w:r>
    </w:p>
    <w:p w:rsidR="00E523FA" w:rsidRPr="00E523FA" w:rsidRDefault="00E523FA" w:rsidP="00E523FA">
      <w:pPr>
        <w:pStyle w:val="NormalWeb"/>
        <w:numPr>
          <w:ilvl w:val="0"/>
          <w:numId w:val="2"/>
        </w:numPr>
        <w:rPr>
          <w:rFonts w:asciiTheme="minorHAnsi" w:hAnsiTheme="minorHAnsi"/>
          <w:szCs w:val="36"/>
        </w:rPr>
      </w:pPr>
      <w:r w:rsidRPr="00E523FA">
        <w:rPr>
          <w:rFonts w:asciiTheme="minorHAnsi" w:hAnsiTheme="minorHAnsi"/>
          <w:szCs w:val="36"/>
        </w:rPr>
        <w:t>Mesures d’asepsie rigoureuses</w:t>
      </w:r>
    </w:p>
    <w:p w:rsidR="00E523FA" w:rsidRPr="00E523FA" w:rsidRDefault="00E523FA" w:rsidP="00E523FA">
      <w:pPr>
        <w:pStyle w:val="NormalWeb"/>
        <w:numPr>
          <w:ilvl w:val="0"/>
          <w:numId w:val="2"/>
        </w:numPr>
        <w:rPr>
          <w:rFonts w:asciiTheme="minorHAnsi" w:hAnsiTheme="minorHAnsi"/>
          <w:szCs w:val="36"/>
        </w:rPr>
      </w:pPr>
      <w:r w:rsidRPr="00E523FA">
        <w:rPr>
          <w:rFonts w:asciiTheme="minorHAnsi" w:hAnsiTheme="minorHAnsi"/>
          <w:szCs w:val="36"/>
        </w:rPr>
        <w:t>Anesthésie locale à la Xylocaïne</w:t>
      </w:r>
      <w:r w:rsidRPr="00E523FA">
        <w:rPr>
          <w:rFonts w:asciiTheme="minorHAnsi" w:hAnsiTheme="minorHAnsi"/>
          <w:position w:val="8"/>
          <w:szCs w:val="36"/>
        </w:rPr>
        <w:t xml:space="preserve"> </w:t>
      </w:r>
      <w:r w:rsidRPr="00E523FA">
        <w:rPr>
          <w:rFonts w:asciiTheme="minorHAnsi" w:hAnsiTheme="minorHAnsi"/>
          <w:szCs w:val="36"/>
        </w:rPr>
        <w:t>jusqu’</w:t>
      </w:r>
      <w:proofErr w:type="spellStart"/>
      <w:r w:rsidRPr="00E523FA">
        <w:rPr>
          <w:rFonts w:asciiTheme="minorHAnsi" w:hAnsiTheme="minorHAnsi"/>
          <w:szCs w:val="36"/>
        </w:rPr>
        <w:t>a</w:t>
      </w:r>
      <w:proofErr w:type="spellEnd"/>
      <w:r w:rsidRPr="00E523FA">
        <w:rPr>
          <w:rFonts w:asciiTheme="minorHAnsi" w:hAnsiTheme="minorHAnsi"/>
          <w:szCs w:val="36"/>
        </w:rPr>
        <w:t>̀ la plèvre</w:t>
      </w:r>
    </w:p>
    <w:p w:rsidR="00E523FA" w:rsidRPr="00E523FA" w:rsidRDefault="00E523FA" w:rsidP="00E523FA">
      <w:pPr>
        <w:pStyle w:val="NormalWeb"/>
        <w:numPr>
          <w:ilvl w:val="0"/>
          <w:numId w:val="2"/>
        </w:numPr>
        <w:rPr>
          <w:rFonts w:asciiTheme="minorHAnsi" w:hAnsiTheme="minorHAnsi"/>
          <w:szCs w:val="36"/>
        </w:rPr>
      </w:pPr>
      <w:r w:rsidRPr="00E523FA">
        <w:rPr>
          <w:rFonts w:asciiTheme="minorHAnsi" w:hAnsiTheme="minorHAnsi"/>
          <w:szCs w:val="36"/>
        </w:rPr>
        <w:t xml:space="preserve">Drainage : méthode de </w:t>
      </w:r>
      <w:proofErr w:type="spellStart"/>
      <w:r w:rsidRPr="00E523FA">
        <w:rPr>
          <w:rFonts w:asciiTheme="minorHAnsi" w:hAnsiTheme="minorHAnsi"/>
          <w:szCs w:val="36"/>
        </w:rPr>
        <w:t>Seldinger</w:t>
      </w:r>
      <w:proofErr w:type="spellEnd"/>
      <w:r w:rsidRPr="00E523FA">
        <w:rPr>
          <w:rFonts w:asciiTheme="minorHAnsi" w:hAnsiTheme="minorHAnsi"/>
          <w:szCs w:val="36"/>
        </w:rPr>
        <w:t xml:space="preserve"> (la plus fiable) ou ponction directe (en passant au bord supérieur de la côte inférieure). </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 xml:space="preserve">Aspiration de liquide purulent </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Passage du guide d’échange qui doit être facile et réalisable sans forcer ou très peu</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Contrôle de la position du guide qui doit être enroulé dans la cavité́</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Dilatation du trajet par des dilatateurs successivement glissés sur le guide laissé en place jusqu’</w:t>
      </w:r>
      <w:proofErr w:type="spellStart"/>
      <w:r w:rsidRPr="00E523FA">
        <w:rPr>
          <w:rFonts w:eastAsia="Times New Roman" w:cs="Times New Roman"/>
          <w:szCs w:val="36"/>
        </w:rPr>
        <w:t>a</w:t>
      </w:r>
      <w:proofErr w:type="spellEnd"/>
      <w:r w:rsidRPr="00E523FA">
        <w:rPr>
          <w:rFonts w:eastAsia="Times New Roman" w:cs="Times New Roman"/>
          <w:szCs w:val="36"/>
        </w:rPr>
        <w:t>̀ la taille du drain choisi</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Mise en place du drain lui-même, sur son armature, glissé sur le guide. Le choix du calibre du drain est fonction de la taille de la cavité́ et de la nature du liquide. Un drain de gros calibre est toujours préférable. Une fois l’extrémité́ du drain dans la cavité́, on glisse uniquement le drain en désolidarisant l’armature que l’on maintient au niveau de la paroi. Une fois le drain en place, on retire l’armature et le guide. Le drain est ensuite muni d’une valve antiretour</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 xml:space="preserve">Prélèvements à visée microbiologique et cytologique et éventuellement biochimique si le liquide est citrin, sur citrate. </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lastRenderedPageBreak/>
        <w:t>Fixation solide du drain</w:t>
      </w:r>
    </w:p>
    <w:p w:rsidR="00E523FA" w:rsidRPr="00E523FA" w:rsidRDefault="00E523FA" w:rsidP="00E523FA">
      <w:pPr>
        <w:pStyle w:val="Paragraphedeliste"/>
        <w:numPr>
          <w:ilvl w:val="0"/>
          <w:numId w:val="2"/>
        </w:numPr>
        <w:spacing w:before="100" w:beforeAutospacing="1" w:after="100" w:afterAutospacing="1"/>
        <w:rPr>
          <w:rFonts w:eastAsia="Times New Roman" w:cs="Times New Roman"/>
          <w:szCs w:val="36"/>
        </w:rPr>
      </w:pPr>
      <w:r w:rsidRPr="00E523FA">
        <w:rPr>
          <w:rFonts w:eastAsia="Times New Roman" w:cs="Times New Roman"/>
          <w:szCs w:val="36"/>
        </w:rPr>
        <w:t xml:space="preserve">Contrôle de la bonne position du drain par acquisition hélicoïdale plus large que l’acquisition de repérage </w:t>
      </w:r>
    </w:p>
    <w:p w:rsidR="00E523FA" w:rsidRPr="00E523FA" w:rsidRDefault="00E523FA" w:rsidP="00E523FA">
      <w:pPr>
        <w:pStyle w:val="Paragraphedeliste"/>
        <w:numPr>
          <w:ilvl w:val="0"/>
          <w:numId w:val="2"/>
        </w:numPr>
        <w:spacing w:before="100" w:beforeAutospacing="1" w:after="100" w:afterAutospacing="1"/>
        <w:rPr>
          <w:szCs w:val="36"/>
        </w:rPr>
      </w:pPr>
      <w:r w:rsidRPr="00E523FA">
        <w:rPr>
          <w:rFonts w:eastAsia="Times New Roman" w:cs="Times New Roman"/>
          <w:szCs w:val="36"/>
        </w:rPr>
        <w:t xml:space="preserve">Le drain est mis en aspiration douce ou en </w:t>
      </w:r>
      <w:proofErr w:type="spellStart"/>
      <w:r w:rsidRPr="00E523FA">
        <w:rPr>
          <w:rFonts w:eastAsia="Times New Roman" w:cs="Times New Roman"/>
          <w:szCs w:val="36"/>
        </w:rPr>
        <w:t>siphonnage</w:t>
      </w:r>
      <w:proofErr w:type="spellEnd"/>
    </w:p>
    <w:p w:rsidR="00E523FA" w:rsidRPr="00E523FA" w:rsidRDefault="00E523FA" w:rsidP="00E523FA">
      <w:pPr>
        <w:pStyle w:val="Paragraphedeliste"/>
        <w:spacing w:before="100" w:beforeAutospacing="1" w:after="100" w:afterAutospacing="1"/>
        <w:ind w:left="1778"/>
        <w:rPr>
          <w:szCs w:val="36"/>
        </w:rPr>
      </w:pPr>
    </w:p>
    <w:p w:rsidR="00E523FA" w:rsidRPr="00E523FA" w:rsidRDefault="00E523FA" w:rsidP="00E523FA">
      <w:pPr>
        <w:pStyle w:val="Paragraphedeliste"/>
        <w:numPr>
          <w:ilvl w:val="0"/>
          <w:numId w:val="1"/>
        </w:numPr>
        <w:rPr>
          <w:szCs w:val="36"/>
        </w:rPr>
      </w:pPr>
      <w:r w:rsidRPr="00E523FA">
        <w:rPr>
          <w:b/>
          <w:bCs/>
          <w:i/>
          <w:iCs/>
          <w:szCs w:val="36"/>
        </w:rPr>
        <w:t>Prélèvements</w:t>
      </w:r>
      <w:r w:rsidRPr="00E523FA">
        <w:rPr>
          <w:szCs w:val="36"/>
        </w:rPr>
        <w:t xml:space="preserve"> : </w:t>
      </w:r>
    </w:p>
    <w:p w:rsidR="00E523FA" w:rsidRPr="00E523FA" w:rsidRDefault="00E523FA" w:rsidP="00E523FA">
      <w:pPr>
        <w:pStyle w:val="Paragraphedeliste"/>
        <w:numPr>
          <w:ilvl w:val="0"/>
          <w:numId w:val="9"/>
        </w:numPr>
        <w:rPr>
          <w:szCs w:val="36"/>
        </w:rPr>
      </w:pPr>
      <w:r w:rsidRPr="00E523FA">
        <w:rPr>
          <w:szCs w:val="36"/>
        </w:rPr>
        <w:t>Placer les prélèvements effectués lors de la ponction dans les milieux adéquats, en accord avec le laboratoire d’anatomopathologie</w:t>
      </w:r>
    </w:p>
    <w:p w:rsidR="00E523FA" w:rsidRPr="00E523FA" w:rsidRDefault="00E523FA" w:rsidP="00E523FA">
      <w:pPr>
        <w:pStyle w:val="Paragraphedeliste"/>
        <w:numPr>
          <w:ilvl w:val="0"/>
          <w:numId w:val="9"/>
        </w:numPr>
        <w:rPr>
          <w:szCs w:val="36"/>
        </w:rPr>
      </w:pPr>
      <w:r w:rsidRPr="00E523FA">
        <w:rPr>
          <w:szCs w:val="36"/>
        </w:rPr>
        <w:t>Acheminer rapidement les prélèvements aux différents laboratoires avec un étiquetage correct et la feuille de renseignements cliniques demandée par les laboratoires</w:t>
      </w:r>
    </w:p>
    <w:p w:rsidR="00E523FA" w:rsidRPr="00E523FA" w:rsidRDefault="00E523FA" w:rsidP="00E523FA">
      <w:pPr>
        <w:ind w:left="1068"/>
        <w:rPr>
          <w:szCs w:val="36"/>
        </w:rPr>
      </w:pPr>
    </w:p>
    <w:p w:rsidR="00E523FA" w:rsidRPr="00E523FA" w:rsidRDefault="00E523FA" w:rsidP="00E523FA">
      <w:pPr>
        <w:pStyle w:val="Paragraphedeliste"/>
        <w:numPr>
          <w:ilvl w:val="0"/>
          <w:numId w:val="1"/>
        </w:numPr>
        <w:rPr>
          <w:szCs w:val="36"/>
        </w:rPr>
      </w:pPr>
      <w:r w:rsidRPr="00E523FA">
        <w:rPr>
          <w:b/>
          <w:bCs/>
          <w:i/>
          <w:iCs/>
          <w:szCs w:val="36"/>
        </w:rPr>
        <w:t>Surveillance du patient</w:t>
      </w:r>
      <w:r w:rsidRPr="00E523FA">
        <w:rPr>
          <w:szCs w:val="36"/>
        </w:rPr>
        <w:t> :</w:t>
      </w:r>
    </w:p>
    <w:p w:rsidR="00E523FA" w:rsidRPr="00E523FA" w:rsidRDefault="00E523FA" w:rsidP="00E523FA">
      <w:pPr>
        <w:pStyle w:val="Paragraphedeliste"/>
        <w:numPr>
          <w:ilvl w:val="0"/>
          <w:numId w:val="10"/>
        </w:numPr>
        <w:rPr>
          <w:rFonts w:ascii="Calibri" w:hAnsi="Calibri"/>
          <w:szCs w:val="36"/>
        </w:rPr>
      </w:pPr>
      <w:r w:rsidRPr="00E523FA">
        <w:rPr>
          <w:rFonts w:ascii="Calibri" w:hAnsi="Calibri"/>
          <w:szCs w:val="36"/>
        </w:rPr>
        <w:t xml:space="preserve">Retour du patient en position couchée avec son dossier médical et une fiche de suivi indiquant l’heure du drainage, les observations éventuelles et la conduite à tenir. </w:t>
      </w:r>
    </w:p>
    <w:p w:rsidR="00E523FA" w:rsidRPr="00E523FA" w:rsidRDefault="00E523FA" w:rsidP="00E523FA">
      <w:pPr>
        <w:rPr>
          <w:szCs w:val="36"/>
        </w:rPr>
      </w:pPr>
    </w:p>
    <w:p w:rsidR="00E523FA" w:rsidRPr="00E523FA" w:rsidRDefault="00E523FA" w:rsidP="00E523FA">
      <w:pPr>
        <w:rPr>
          <w:b/>
          <w:bCs/>
          <w:color w:val="002060"/>
          <w:szCs w:val="36"/>
        </w:rPr>
      </w:pPr>
      <w:r w:rsidRPr="00E523FA">
        <w:rPr>
          <w:b/>
          <w:bCs/>
          <w:color w:val="002060"/>
          <w:szCs w:val="36"/>
        </w:rPr>
        <w:t>COMPTE RENDU :</w:t>
      </w:r>
    </w:p>
    <w:p w:rsidR="00E523FA" w:rsidRPr="00E523FA" w:rsidRDefault="00E523FA" w:rsidP="00E523FA">
      <w:pPr>
        <w:pStyle w:val="Paragraphedeliste"/>
        <w:numPr>
          <w:ilvl w:val="0"/>
          <w:numId w:val="1"/>
        </w:numPr>
        <w:rPr>
          <w:b/>
          <w:bCs/>
          <w:color w:val="002060"/>
          <w:szCs w:val="36"/>
        </w:rPr>
      </w:pPr>
      <w:proofErr w:type="spellStart"/>
      <w:r w:rsidRPr="00E523FA">
        <w:rPr>
          <w:rFonts w:ascii="Calibri" w:hAnsi="Calibri"/>
          <w:szCs w:val="36"/>
        </w:rPr>
        <w:t>Iconographier</w:t>
      </w:r>
      <w:proofErr w:type="spellEnd"/>
      <w:r w:rsidRPr="00E523FA">
        <w:rPr>
          <w:rFonts w:ascii="Calibri" w:hAnsi="Calibri"/>
          <w:szCs w:val="36"/>
        </w:rPr>
        <w:t xml:space="preserve"> la réussite balistique </w:t>
      </w:r>
    </w:p>
    <w:p w:rsidR="00E523FA" w:rsidRPr="00E523FA" w:rsidRDefault="00E523FA" w:rsidP="00E523FA">
      <w:pPr>
        <w:pStyle w:val="Paragraphedeliste"/>
        <w:numPr>
          <w:ilvl w:val="0"/>
          <w:numId w:val="1"/>
        </w:numPr>
        <w:shd w:val="clear" w:color="auto" w:fill="FFFFFF"/>
        <w:spacing w:before="100" w:beforeAutospacing="1" w:after="100" w:afterAutospacing="1"/>
        <w:rPr>
          <w:rFonts w:eastAsia="Times New Roman" w:cs="Times New Roman"/>
          <w:szCs w:val="36"/>
        </w:rPr>
      </w:pPr>
      <w:r w:rsidRPr="00E523FA">
        <w:rPr>
          <w:rFonts w:eastAsia="Times New Roman" w:cs="Times New Roman"/>
          <w:szCs w:val="36"/>
        </w:rPr>
        <w:t xml:space="preserve">Points qui doivent figurer dans le compte rendu : la voie d’abord ; la notion de </w:t>
      </w:r>
      <w:proofErr w:type="spellStart"/>
      <w:r w:rsidRPr="00E523FA">
        <w:rPr>
          <w:rFonts w:eastAsia="Times New Roman" w:cs="Times New Roman"/>
          <w:szCs w:val="36"/>
        </w:rPr>
        <w:t>réussite</w:t>
      </w:r>
      <w:proofErr w:type="spellEnd"/>
      <w:r w:rsidRPr="00E523FA">
        <w:rPr>
          <w:rFonts w:eastAsia="Times New Roman" w:cs="Times New Roman"/>
          <w:szCs w:val="36"/>
        </w:rPr>
        <w:t xml:space="preserve"> balistique ; le type des prélèvements réalisés ; la quantité́ de liquide extériorisé́ pendant que le patient est en radiologie</w:t>
      </w:r>
    </w:p>
    <w:p w:rsidR="00FF1608" w:rsidRPr="00881EF4" w:rsidRDefault="00FF1608" w:rsidP="00E523FA">
      <w:pPr>
        <w:rPr>
          <w:b/>
          <w:color w:val="005493"/>
          <w:sz w:val="12"/>
        </w:rPr>
      </w:pPr>
      <w:bookmarkStart w:id="0" w:name="_GoBack"/>
      <w:bookmarkEnd w:id="0"/>
    </w:p>
    <w:sectPr w:rsidR="00FF1608" w:rsidRPr="00881EF4" w:rsidSect="009213C2">
      <w:headerReference w:type="default" r:id="rId8"/>
      <w:footerReference w:type="default" r:id="rId9"/>
      <w:pgSz w:w="11900" w:h="16840"/>
      <w:pgMar w:top="720" w:right="720" w:bottom="720" w:left="720" w:header="15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9B" w:rsidRDefault="004F1E9B" w:rsidP="00631563">
      <w:r>
        <w:separator/>
      </w:r>
    </w:p>
  </w:endnote>
  <w:endnote w:type="continuationSeparator" w:id="0">
    <w:p w:rsidR="004F1E9B" w:rsidRDefault="004F1E9B" w:rsidP="006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63" w:rsidRDefault="009213C2">
    <w:pPr>
      <w:pStyle w:val="Pieddepage"/>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366395</wp:posOffset>
              </wp:positionV>
              <wp:extent cx="7528560" cy="228600"/>
              <wp:effectExtent l="0" t="0" r="15240" b="12700"/>
              <wp:wrapNone/>
              <wp:docPr id="5" name="Rectangle 5"/>
              <wp:cNvGraphicFramePr/>
              <a:graphic xmlns:a="http://schemas.openxmlformats.org/drawingml/2006/main">
                <a:graphicData uri="http://schemas.microsoft.com/office/word/2010/wordprocessingShape">
                  <wps:wsp>
                    <wps:cNvSpPr/>
                    <wps:spPr>
                      <a:xfrm>
                        <a:off x="0" y="0"/>
                        <a:ext cx="7528560" cy="228600"/>
                      </a:xfrm>
                      <a:prstGeom prst="rect">
                        <a:avLst/>
                      </a:prstGeom>
                      <a:solidFill>
                        <a:srgbClr val="00549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4D61C4" id="Rectangle 5" o:spid="_x0000_s1026" style="position:absolute;margin-left:-36pt;margin-top:28.85pt;width:592.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" fillcolor="#005493" strokecolor="#1f3763 [1604]"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9B" w:rsidRDefault="004F1E9B" w:rsidP="00631563">
      <w:r>
        <w:separator/>
      </w:r>
    </w:p>
  </w:footnote>
  <w:footnote w:type="continuationSeparator" w:id="0">
    <w:p w:rsidR="004F1E9B" w:rsidRDefault="004F1E9B" w:rsidP="0063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63" w:rsidRDefault="00846B84" w:rsidP="00631563">
    <w:pPr>
      <w:pStyle w:val="En-tte"/>
      <w:jc w:val="right"/>
    </w:pPr>
    <w:r>
      <w:rPr>
        <w:noProof/>
        <w:lang w:eastAsia="fr-FR"/>
      </w:rPr>
      <mc:AlternateContent>
        <mc:Choice Requires="wpg">
          <w:drawing>
            <wp:anchor distT="0" distB="0" distL="114300" distR="114300" simplePos="0" relativeHeight="251659264" behindDoc="0" locked="0" layoutInCell="1" allowOverlap="1">
              <wp:simplePos x="0" y="0"/>
              <wp:positionH relativeFrom="column">
                <wp:posOffset>-701040</wp:posOffset>
              </wp:positionH>
              <wp:positionV relativeFrom="paragraph">
                <wp:posOffset>-987425</wp:posOffset>
              </wp:positionV>
              <wp:extent cx="8068945" cy="847725"/>
              <wp:effectExtent l="0" t="0" r="0" b="0"/>
              <wp:wrapNone/>
              <wp:docPr id="159" name="Groupe 159"/>
              <wp:cNvGraphicFramePr/>
              <a:graphic xmlns:a="http://schemas.openxmlformats.org/drawingml/2006/main">
                <a:graphicData uri="http://schemas.microsoft.com/office/word/2010/wordprocessingGroup">
                  <wpg:wgp>
                    <wpg:cNvGrpSpPr/>
                    <wpg:grpSpPr>
                      <a:xfrm>
                        <a:off x="0" y="0"/>
                        <a:ext cx="8068945" cy="847725"/>
                        <a:chOff x="3585" y="-257303"/>
                        <a:chExt cx="1843099" cy="1275775"/>
                      </a:xfrm>
                    </wpg:grpSpPr>
                    <wps:wsp>
                      <wps:cNvPr id="160" name="Rectangle 160"/>
                      <wps:cNvSpPr/>
                      <wps:spPr>
                        <a:xfrm>
                          <a:off x="57317" y="-5656"/>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85" y="-257303"/>
                          <a:ext cx="1843099" cy="1218356"/>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0054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C6FAC9" id="Groupe 159" o:spid="_x0000_s1026" style="position:absolute;margin-left:-55.2pt;margin-top:-77.75pt;width:635.35pt;height:66.75pt;z-index:251659264;mso-width-relative:margin;mso-height-relative:margin" coordorigin="35,-2573" coordsize="18430,1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">
              <v:rect id="Rectangle 160" o:spid="_x0000_s1027" style="position:absolute;left:573;top:-56;width:17008;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" fillcolor="white [3212]" stroked="f" strokeweight="1pt">
                <v:fill opacity="0"/>
              </v:rect>
              <v:shape id="Rectangle 1" o:spid="_x0000_s1028" style="position:absolute;left:35;top:-2573;width:18431;height:1218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" path="m,l1462822,,910372,376306,,1014481,,xe" fillcolor="#005493" stroked="f" strokeweight="1pt">
                <v:stroke joinstyle="miter"/>
                <v:path arrowok="t" o:connecttype="custom" o:connectlocs="0,0;1843099,0;1147033,451930;0,1218356;0,0" o:connectangles="0,0,0,0,0"/>
              </v:shape>
            </v:group>
          </w:pict>
        </mc:Fallback>
      </mc:AlternateContent>
    </w:r>
    <w:r w:rsidR="009213C2">
      <w:rPr>
        <w:noProof/>
        <w:lang w:eastAsia="fr-FR"/>
      </w:rPr>
      <w:drawing>
        <wp:anchor distT="0" distB="0" distL="114300" distR="114300" simplePos="0" relativeHeight="251658239" behindDoc="0" locked="0" layoutInCell="1" allowOverlap="1" wp14:anchorId="2B19B664">
          <wp:simplePos x="0" y="0"/>
          <wp:positionH relativeFrom="margin">
            <wp:posOffset>5955665</wp:posOffset>
          </wp:positionH>
          <wp:positionV relativeFrom="margin">
            <wp:posOffset>-1070610</wp:posOffset>
          </wp:positionV>
          <wp:extent cx="1106170" cy="10718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940" t="5671" r="11194"/>
                  <a:stretch/>
                </pic:blipFill>
                <pic:spPr bwMode="auto">
                  <a:xfrm>
                    <a:off x="0" y="0"/>
                    <a:ext cx="1106170" cy="1071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3C2">
      <w:rPr>
        <w:noProof/>
        <w:lang w:eastAsia="fr-FR"/>
      </w:rPr>
      <mc:AlternateContent>
        <mc:Choice Requires="wps">
          <w:drawing>
            <wp:anchor distT="0" distB="0" distL="114300" distR="114300" simplePos="0" relativeHeight="251663360" behindDoc="0" locked="0" layoutInCell="1" allowOverlap="1">
              <wp:simplePos x="0" y="0"/>
              <wp:positionH relativeFrom="column">
                <wp:posOffset>-508346</wp:posOffset>
              </wp:positionH>
              <wp:positionV relativeFrom="paragraph">
                <wp:posOffset>-587317</wp:posOffset>
              </wp:positionV>
              <wp:extent cx="3177093" cy="234586"/>
              <wp:effectExtent l="0" t="0" r="10795" b="172085"/>
              <wp:wrapNone/>
              <wp:docPr id="3" name="Triangle 3"/>
              <wp:cNvGraphicFramePr/>
              <a:graphic xmlns:a="http://schemas.openxmlformats.org/drawingml/2006/main">
                <a:graphicData uri="http://schemas.microsoft.com/office/word/2010/wordprocessingShape">
                  <wps:wsp>
                    <wps:cNvSpPr/>
                    <wps:spPr>
                      <a:xfrm rot="21251673">
                        <a:off x="0" y="0"/>
                        <a:ext cx="3177093" cy="234586"/>
                      </a:xfrm>
                      <a:prstGeom prst="triangle">
                        <a:avLst/>
                      </a:prstGeom>
                      <a:gradFill>
                        <a:gsLst>
                          <a:gs pos="33000">
                            <a:srgbClr val="D7847B"/>
                          </a:gs>
                          <a:gs pos="39000">
                            <a:srgbClr val="D7847B"/>
                          </a:gs>
                          <a:gs pos="100000">
                            <a:srgbClr val="D7847B">
                              <a:tint val="23500"/>
                              <a:satMod val="160000"/>
                            </a:srgbClr>
                          </a:gs>
                        </a:gsLst>
                        <a:lin ang="27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144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B4138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6" type="#_x0000_t5" style="position:absolute;margin-left:-40.05pt;margin-top:-46.25pt;width:250.15pt;height:18.45pt;rotation:-3804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" fillcolor="#d7847b" stroked="f" strokeweight="1pt">
              <v:fill color2="#fae6e4" angle="45" colors="0 #d7847b;21627f #d7847b;25559f #d7847b" focus="100%" type="gradient"/>
              <v:textbox inset=",4mm"/>
            </v:shape>
          </w:pict>
        </mc:Fallback>
      </mc:AlternateContent>
    </w:r>
    <w:r w:rsidR="009213C2">
      <w:rPr>
        <w:noProof/>
        <w:lang w:eastAsia="fr-FR"/>
      </w:rPr>
      <mc:AlternateContent>
        <mc:Choice Requires="wps">
          <w:drawing>
            <wp:anchor distT="0" distB="0" distL="114300" distR="114300" simplePos="0" relativeHeight="251662336" behindDoc="0" locked="0" layoutInCell="1" allowOverlap="1" wp14:anchorId="313DDDA3" wp14:editId="2D6C8CAF">
              <wp:simplePos x="0" y="0"/>
              <wp:positionH relativeFrom="column">
                <wp:posOffset>1247776</wp:posOffset>
              </wp:positionH>
              <wp:positionV relativeFrom="paragraph">
                <wp:posOffset>-682969</wp:posOffset>
              </wp:positionV>
              <wp:extent cx="2633962" cy="183624"/>
              <wp:effectExtent l="0" t="0" r="8255" b="133985"/>
              <wp:wrapNone/>
              <wp:docPr id="4" name="Triangle 4"/>
              <wp:cNvGraphicFramePr/>
              <a:graphic xmlns:a="http://schemas.openxmlformats.org/drawingml/2006/main">
                <a:graphicData uri="http://schemas.microsoft.com/office/word/2010/wordprocessingShape">
                  <wps:wsp>
                    <wps:cNvSpPr/>
                    <wps:spPr>
                      <a:xfrm rot="21251673">
                        <a:off x="0" y="0"/>
                        <a:ext cx="2633962" cy="183624"/>
                      </a:xfrm>
                      <a:prstGeom prst="triangle">
                        <a:avLst/>
                      </a:prstGeom>
                      <a:gradFill>
                        <a:gsLst>
                          <a:gs pos="0">
                            <a:srgbClr val="FFD8FF"/>
                          </a:gs>
                          <a:gs pos="14000">
                            <a:srgbClr val="D7847B">
                              <a:tint val="44500"/>
                              <a:satMod val="160000"/>
                            </a:srgbClr>
                          </a:gs>
                          <a:gs pos="40000">
                            <a:srgbClr val="D7847B">
                              <a:tint val="23500"/>
                              <a:satMod val="160000"/>
                            </a:srgbClr>
                          </a:gs>
                        </a:gsLst>
                        <a:lin ang="27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2815CA" id="Triangle 4" o:spid="_x0000_s1026" type="#_x0000_t5" style="position:absolute;margin-left:98.25pt;margin-top:-53.8pt;width:207.4pt;height:14.45pt;rotation:-3804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" fillcolor="#ffd8ff" stroked="f" strokeweight="1pt">
              <v:fill color2="#fae6e4" angle="45" colors="0 #ffd8ff;9175f #f7cdc9;26214f #fae6e4" focus="100%" type="gradie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737"/>
    <w:multiLevelType w:val="hybridMultilevel"/>
    <w:tmpl w:val="DC6A8EA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74327AE"/>
    <w:multiLevelType w:val="hybridMultilevel"/>
    <w:tmpl w:val="D2244C0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EC76AA0"/>
    <w:multiLevelType w:val="hybridMultilevel"/>
    <w:tmpl w:val="6BCE3E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EF25A1F"/>
    <w:multiLevelType w:val="hybridMultilevel"/>
    <w:tmpl w:val="E6F250C2"/>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nsid w:val="343470F7"/>
    <w:multiLevelType w:val="hybridMultilevel"/>
    <w:tmpl w:val="50F41FCC"/>
    <w:lvl w:ilvl="0" w:tplc="97D8D9D4">
      <w:start w:val="1"/>
      <w:numFmt w:val="bullet"/>
      <w:lvlText w:val="-"/>
      <w:lvlJc w:val="left"/>
      <w:pPr>
        <w:ind w:left="2498" w:hanging="360"/>
      </w:pPr>
      <w:rPr>
        <w:rFonts w:ascii="Calibri" w:eastAsiaTheme="minorEastAsia" w:hAnsi="Calibri" w:cstheme="minorBidi"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5">
    <w:nsid w:val="581B5C55"/>
    <w:multiLevelType w:val="hybridMultilevel"/>
    <w:tmpl w:val="79C86034"/>
    <w:lvl w:ilvl="0" w:tplc="040C0001">
      <w:start w:val="1"/>
      <w:numFmt w:val="bullet"/>
      <w:lvlText w:val=""/>
      <w:lvlJc w:val="left"/>
      <w:pPr>
        <w:ind w:left="791" w:hanging="360"/>
      </w:pPr>
      <w:rPr>
        <w:rFonts w:ascii="Symbol" w:hAnsi="Symbol"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6">
    <w:nsid w:val="71F93F88"/>
    <w:multiLevelType w:val="hybridMultilevel"/>
    <w:tmpl w:val="B21A27DC"/>
    <w:lvl w:ilvl="0" w:tplc="040C0005">
      <w:start w:val="1"/>
      <w:numFmt w:val="bullet"/>
      <w:lvlText w:val=""/>
      <w:lvlJc w:val="left"/>
      <w:pPr>
        <w:ind w:left="1511" w:hanging="360"/>
      </w:pPr>
      <w:rPr>
        <w:rFonts w:ascii="Wingdings" w:hAnsi="Wingdings"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7">
    <w:nsid w:val="72A60CA6"/>
    <w:multiLevelType w:val="hybridMultilevel"/>
    <w:tmpl w:val="ECAE4CD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735025B7"/>
    <w:multiLevelType w:val="hybridMultilevel"/>
    <w:tmpl w:val="1DB4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756FE7"/>
    <w:multiLevelType w:val="hybridMultilevel"/>
    <w:tmpl w:val="EC02BDB6"/>
    <w:lvl w:ilvl="0" w:tplc="BEBCCAA0">
      <w:start w:val="1"/>
      <w:numFmt w:val="bullet"/>
      <w:lvlText w:val="-"/>
      <w:lvlJc w:val="left"/>
      <w:pPr>
        <w:ind w:left="2138" w:hanging="360"/>
      </w:pPr>
      <w:rPr>
        <w:rFonts w:ascii="Calibri" w:eastAsiaTheme="minorEastAsia" w:hAnsi="Calibri" w:cstheme="minorBid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9"/>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63"/>
    <w:rsid w:val="00017293"/>
    <w:rsid w:val="00027F22"/>
    <w:rsid w:val="00057179"/>
    <w:rsid w:val="000836ED"/>
    <w:rsid w:val="000E175B"/>
    <w:rsid w:val="00102FE2"/>
    <w:rsid w:val="00116D10"/>
    <w:rsid w:val="00145BE8"/>
    <w:rsid w:val="001603F7"/>
    <w:rsid w:val="0017691D"/>
    <w:rsid w:val="00186BB3"/>
    <w:rsid w:val="001A6902"/>
    <w:rsid w:val="001A7241"/>
    <w:rsid w:val="001E7D47"/>
    <w:rsid w:val="002451A4"/>
    <w:rsid w:val="0024666E"/>
    <w:rsid w:val="002667B3"/>
    <w:rsid w:val="00283FC0"/>
    <w:rsid w:val="00295DD5"/>
    <w:rsid w:val="002A7272"/>
    <w:rsid w:val="002F380D"/>
    <w:rsid w:val="003054A0"/>
    <w:rsid w:val="0035059C"/>
    <w:rsid w:val="00391D6E"/>
    <w:rsid w:val="003C6774"/>
    <w:rsid w:val="003C7C30"/>
    <w:rsid w:val="003F679B"/>
    <w:rsid w:val="00415AC0"/>
    <w:rsid w:val="004248F2"/>
    <w:rsid w:val="00443AB6"/>
    <w:rsid w:val="00457CB4"/>
    <w:rsid w:val="00464533"/>
    <w:rsid w:val="00494B61"/>
    <w:rsid w:val="004D7371"/>
    <w:rsid w:val="004D7ED0"/>
    <w:rsid w:val="004E111C"/>
    <w:rsid w:val="004E3D7C"/>
    <w:rsid w:val="004E5A8F"/>
    <w:rsid w:val="004F1E9B"/>
    <w:rsid w:val="005375C9"/>
    <w:rsid w:val="005410B7"/>
    <w:rsid w:val="005427DF"/>
    <w:rsid w:val="00545257"/>
    <w:rsid w:val="005615DA"/>
    <w:rsid w:val="00566BAD"/>
    <w:rsid w:val="005721AD"/>
    <w:rsid w:val="005974C9"/>
    <w:rsid w:val="005B0D24"/>
    <w:rsid w:val="005D24A3"/>
    <w:rsid w:val="005E48DE"/>
    <w:rsid w:val="005E7597"/>
    <w:rsid w:val="00631563"/>
    <w:rsid w:val="00645610"/>
    <w:rsid w:val="00695DED"/>
    <w:rsid w:val="006B1D0C"/>
    <w:rsid w:val="006D6432"/>
    <w:rsid w:val="006E516B"/>
    <w:rsid w:val="006E54C1"/>
    <w:rsid w:val="00764D76"/>
    <w:rsid w:val="00766889"/>
    <w:rsid w:val="007777F8"/>
    <w:rsid w:val="007A2B08"/>
    <w:rsid w:val="007A6B01"/>
    <w:rsid w:val="007D4A87"/>
    <w:rsid w:val="008267DA"/>
    <w:rsid w:val="00827A6E"/>
    <w:rsid w:val="00830CEA"/>
    <w:rsid w:val="00835774"/>
    <w:rsid w:val="0083701A"/>
    <w:rsid w:val="00846B84"/>
    <w:rsid w:val="008515B4"/>
    <w:rsid w:val="00855A02"/>
    <w:rsid w:val="00881EF4"/>
    <w:rsid w:val="008840E9"/>
    <w:rsid w:val="0089117E"/>
    <w:rsid w:val="008A3C13"/>
    <w:rsid w:val="008B4000"/>
    <w:rsid w:val="008B6544"/>
    <w:rsid w:val="008C6AAD"/>
    <w:rsid w:val="008D5340"/>
    <w:rsid w:val="008D59D0"/>
    <w:rsid w:val="008E4756"/>
    <w:rsid w:val="008F2E5D"/>
    <w:rsid w:val="009053DD"/>
    <w:rsid w:val="009213C2"/>
    <w:rsid w:val="00936DCF"/>
    <w:rsid w:val="009B0C62"/>
    <w:rsid w:val="009B1B10"/>
    <w:rsid w:val="009C6616"/>
    <w:rsid w:val="00A129C6"/>
    <w:rsid w:val="00A3730D"/>
    <w:rsid w:val="00A5174A"/>
    <w:rsid w:val="00A54C69"/>
    <w:rsid w:val="00A743E2"/>
    <w:rsid w:val="00AC5153"/>
    <w:rsid w:val="00AE41E7"/>
    <w:rsid w:val="00AE6C9F"/>
    <w:rsid w:val="00B02DA6"/>
    <w:rsid w:val="00B811CE"/>
    <w:rsid w:val="00C15357"/>
    <w:rsid w:val="00C23BBD"/>
    <w:rsid w:val="00C35CA8"/>
    <w:rsid w:val="00C40D03"/>
    <w:rsid w:val="00C474AC"/>
    <w:rsid w:val="00CA1F6E"/>
    <w:rsid w:val="00CB1031"/>
    <w:rsid w:val="00CC0CAF"/>
    <w:rsid w:val="00CF3F15"/>
    <w:rsid w:val="00CF72BB"/>
    <w:rsid w:val="00D05FBD"/>
    <w:rsid w:val="00D14FE3"/>
    <w:rsid w:val="00DA0FF2"/>
    <w:rsid w:val="00DC5F27"/>
    <w:rsid w:val="00E21462"/>
    <w:rsid w:val="00E251FF"/>
    <w:rsid w:val="00E32D87"/>
    <w:rsid w:val="00E429E2"/>
    <w:rsid w:val="00E45486"/>
    <w:rsid w:val="00E523FA"/>
    <w:rsid w:val="00E81D36"/>
    <w:rsid w:val="00E94F9C"/>
    <w:rsid w:val="00EA784D"/>
    <w:rsid w:val="00F122BB"/>
    <w:rsid w:val="00F13875"/>
    <w:rsid w:val="00F22CC2"/>
    <w:rsid w:val="00F37B76"/>
    <w:rsid w:val="00F444A0"/>
    <w:rsid w:val="00F77D8C"/>
    <w:rsid w:val="00F92F65"/>
    <w:rsid w:val="00F946D3"/>
    <w:rsid w:val="00FA157F"/>
    <w:rsid w:val="00FD3F3C"/>
    <w:rsid w:val="00FF1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4C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E54C1"/>
    <w:rPr>
      <w:rFonts w:ascii="Times New Roman" w:hAnsi="Times New Roman" w:cs="Times New Roman"/>
      <w:sz w:val="18"/>
      <w:szCs w:val="18"/>
    </w:rPr>
  </w:style>
  <w:style w:type="paragraph" w:styleId="En-tte">
    <w:name w:val="header"/>
    <w:basedOn w:val="Normal"/>
    <w:link w:val="En-tteCar"/>
    <w:uiPriority w:val="99"/>
    <w:unhideWhenUsed/>
    <w:rsid w:val="00631563"/>
    <w:pPr>
      <w:tabs>
        <w:tab w:val="center" w:pos="4536"/>
        <w:tab w:val="right" w:pos="9072"/>
      </w:tabs>
    </w:pPr>
  </w:style>
  <w:style w:type="character" w:customStyle="1" w:styleId="En-tteCar">
    <w:name w:val="En-tête Car"/>
    <w:basedOn w:val="Policepardfaut"/>
    <w:link w:val="En-tte"/>
    <w:uiPriority w:val="99"/>
    <w:rsid w:val="00631563"/>
  </w:style>
  <w:style w:type="paragraph" w:styleId="Pieddepage">
    <w:name w:val="footer"/>
    <w:basedOn w:val="Normal"/>
    <w:link w:val="PieddepageCar"/>
    <w:uiPriority w:val="99"/>
    <w:unhideWhenUsed/>
    <w:rsid w:val="00631563"/>
    <w:pPr>
      <w:tabs>
        <w:tab w:val="center" w:pos="4536"/>
        <w:tab w:val="right" w:pos="9072"/>
      </w:tabs>
    </w:pPr>
  </w:style>
  <w:style w:type="character" w:customStyle="1" w:styleId="PieddepageCar">
    <w:name w:val="Pied de page Car"/>
    <w:basedOn w:val="Policepardfaut"/>
    <w:link w:val="Pieddepage"/>
    <w:uiPriority w:val="99"/>
    <w:rsid w:val="00631563"/>
  </w:style>
  <w:style w:type="paragraph" w:styleId="Paragraphedeliste">
    <w:name w:val="List Paragraph"/>
    <w:basedOn w:val="Normal"/>
    <w:uiPriority w:val="34"/>
    <w:qFormat/>
    <w:rsid w:val="00FF1608"/>
    <w:pPr>
      <w:ind w:left="720"/>
      <w:contextualSpacing/>
    </w:pPr>
    <w:rPr>
      <w:rFonts w:eastAsiaTheme="minorEastAsia"/>
      <w:lang w:eastAsia="zh-CN"/>
    </w:rPr>
  </w:style>
  <w:style w:type="paragraph" w:styleId="NormalWeb">
    <w:name w:val="Normal (Web)"/>
    <w:basedOn w:val="Normal"/>
    <w:uiPriority w:val="99"/>
    <w:unhideWhenUsed/>
    <w:rsid w:val="009B0C62"/>
    <w:pPr>
      <w:spacing w:before="100" w:beforeAutospacing="1" w:after="100" w:afterAutospacing="1"/>
    </w:pPr>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4C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E54C1"/>
    <w:rPr>
      <w:rFonts w:ascii="Times New Roman" w:hAnsi="Times New Roman" w:cs="Times New Roman"/>
      <w:sz w:val="18"/>
      <w:szCs w:val="18"/>
    </w:rPr>
  </w:style>
  <w:style w:type="paragraph" w:styleId="En-tte">
    <w:name w:val="header"/>
    <w:basedOn w:val="Normal"/>
    <w:link w:val="En-tteCar"/>
    <w:uiPriority w:val="99"/>
    <w:unhideWhenUsed/>
    <w:rsid w:val="00631563"/>
    <w:pPr>
      <w:tabs>
        <w:tab w:val="center" w:pos="4536"/>
        <w:tab w:val="right" w:pos="9072"/>
      </w:tabs>
    </w:pPr>
  </w:style>
  <w:style w:type="character" w:customStyle="1" w:styleId="En-tteCar">
    <w:name w:val="En-tête Car"/>
    <w:basedOn w:val="Policepardfaut"/>
    <w:link w:val="En-tte"/>
    <w:uiPriority w:val="99"/>
    <w:rsid w:val="00631563"/>
  </w:style>
  <w:style w:type="paragraph" w:styleId="Pieddepage">
    <w:name w:val="footer"/>
    <w:basedOn w:val="Normal"/>
    <w:link w:val="PieddepageCar"/>
    <w:uiPriority w:val="99"/>
    <w:unhideWhenUsed/>
    <w:rsid w:val="00631563"/>
    <w:pPr>
      <w:tabs>
        <w:tab w:val="center" w:pos="4536"/>
        <w:tab w:val="right" w:pos="9072"/>
      </w:tabs>
    </w:pPr>
  </w:style>
  <w:style w:type="character" w:customStyle="1" w:styleId="PieddepageCar">
    <w:name w:val="Pied de page Car"/>
    <w:basedOn w:val="Policepardfaut"/>
    <w:link w:val="Pieddepage"/>
    <w:uiPriority w:val="99"/>
    <w:rsid w:val="00631563"/>
  </w:style>
  <w:style w:type="paragraph" w:styleId="Paragraphedeliste">
    <w:name w:val="List Paragraph"/>
    <w:basedOn w:val="Normal"/>
    <w:uiPriority w:val="34"/>
    <w:qFormat/>
    <w:rsid w:val="00FF1608"/>
    <w:pPr>
      <w:ind w:left="720"/>
      <w:contextualSpacing/>
    </w:pPr>
    <w:rPr>
      <w:rFonts w:eastAsiaTheme="minorEastAsia"/>
      <w:lang w:eastAsia="zh-CN"/>
    </w:rPr>
  </w:style>
  <w:style w:type="paragraph" w:styleId="NormalWeb">
    <w:name w:val="Normal (Web)"/>
    <w:basedOn w:val="Normal"/>
    <w:uiPriority w:val="99"/>
    <w:unhideWhenUsed/>
    <w:rsid w:val="009B0C62"/>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dc:creator>
  <cp:lastModifiedBy>BOUSSOUAR Samia</cp:lastModifiedBy>
  <cp:revision>3</cp:revision>
  <dcterms:created xsi:type="dcterms:W3CDTF">2021-04-17T09:40:00Z</dcterms:created>
  <dcterms:modified xsi:type="dcterms:W3CDTF">2021-04-21T15:23:00Z</dcterms:modified>
</cp:coreProperties>
</file>