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64" w:rsidRPr="00A743E2" w:rsidRDefault="00F37B76" w:rsidP="006D6432">
      <w:pPr>
        <w:ind w:left="708" w:firstLine="708"/>
        <w:jc w:val="center"/>
        <w:rPr>
          <w:b/>
          <w:color w:val="005493"/>
          <w:sz w:val="32"/>
        </w:rPr>
      </w:pPr>
      <w:r w:rsidRPr="00A743E2">
        <w:rPr>
          <w:b/>
          <w:color w:val="005493"/>
          <w:sz w:val="32"/>
        </w:rPr>
        <w:t>Protocoles d’imagerie thoracique</w:t>
      </w:r>
    </w:p>
    <w:p w:rsidR="00FF1608" w:rsidRPr="00FF1608" w:rsidRDefault="00FF1608" w:rsidP="006D6432">
      <w:pPr>
        <w:ind w:left="708" w:firstLine="708"/>
        <w:jc w:val="center"/>
        <w:rPr>
          <w:b/>
          <w:color w:val="005493"/>
        </w:rPr>
      </w:pPr>
    </w:p>
    <w:p w:rsidR="00464533" w:rsidRPr="00464533" w:rsidRDefault="00464533" w:rsidP="00464533">
      <w:pPr>
        <w:jc w:val="center"/>
        <w:rPr>
          <w:rFonts w:ascii="Calibri" w:eastAsia="DengXian" w:hAnsi="Calibri" w:cs="Arial"/>
          <w:b/>
          <w:bCs/>
          <w:color w:val="002060"/>
          <w:sz w:val="32"/>
          <w:szCs w:val="44"/>
          <w:lang w:eastAsia="zh-CN"/>
        </w:rPr>
      </w:pPr>
      <w:r w:rsidRPr="00464533">
        <w:rPr>
          <w:rFonts w:ascii="Calibri" w:eastAsia="DengXian" w:hAnsi="Calibri" w:cs="Arial"/>
          <w:b/>
          <w:bCs/>
          <w:color w:val="002060"/>
          <w:sz w:val="32"/>
          <w:szCs w:val="44"/>
          <w:lang w:eastAsia="zh-CN"/>
        </w:rPr>
        <w:t>SURVEILLANCE D’UN SUJET EXPOSÉ À L’AMIANTE</w:t>
      </w:r>
    </w:p>
    <w:p w:rsidR="00464533" w:rsidRPr="00464533" w:rsidRDefault="00464533" w:rsidP="00464533">
      <w:pPr>
        <w:jc w:val="center"/>
        <w:rPr>
          <w:rFonts w:ascii="Calibri" w:eastAsia="DengXian" w:hAnsi="Calibri" w:cs="Arial"/>
          <w:szCs w:val="36"/>
          <w:lang w:eastAsia="zh-CN"/>
        </w:rPr>
      </w:pPr>
    </w:p>
    <w:p w:rsidR="00464533" w:rsidRPr="00464533" w:rsidRDefault="00464533" w:rsidP="00464533">
      <w:pPr>
        <w:jc w:val="center"/>
        <w:rPr>
          <w:rFonts w:ascii="Calibri" w:eastAsia="DengXian" w:hAnsi="Calibri" w:cs="Arial"/>
          <w:szCs w:val="36"/>
          <w:lang w:eastAsia="zh-CN"/>
        </w:rPr>
      </w:pPr>
    </w:p>
    <w:p w:rsidR="00DC0168" w:rsidRPr="00DC0168" w:rsidRDefault="00DC0168" w:rsidP="00DC0168">
      <w:pPr>
        <w:rPr>
          <w:b/>
          <w:bCs/>
          <w:color w:val="002060"/>
          <w:szCs w:val="36"/>
        </w:rPr>
      </w:pPr>
      <w:r w:rsidRPr="00DC0168">
        <w:rPr>
          <w:b/>
          <w:bCs/>
          <w:color w:val="002060"/>
          <w:szCs w:val="36"/>
        </w:rPr>
        <w:t xml:space="preserve">OBJECTIFS DU SCANNER : </w:t>
      </w: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szCs w:val="36"/>
        </w:rPr>
      </w:pPr>
      <w:r w:rsidRPr="00DC0168">
        <w:rPr>
          <w:szCs w:val="36"/>
        </w:rPr>
        <w:t xml:space="preserve">Rechercher des lésions secondaires à l’exposition à l’amiante : pleurales (plaques pleurales) et parenchymateuses (asbestose) </w:t>
      </w: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szCs w:val="36"/>
        </w:rPr>
      </w:pPr>
      <w:r w:rsidRPr="00DC0168">
        <w:rPr>
          <w:szCs w:val="36"/>
        </w:rPr>
        <w:t>Rechercher d’éventuelles complications (néoplasie)</w:t>
      </w:r>
    </w:p>
    <w:p w:rsidR="00DC0168" w:rsidRPr="00DC0168" w:rsidRDefault="00DC0168" w:rsidP="00DC0168">
      <w:pPr>
        <w:rPr>
          <w:szCs w:val="36"/>
        </w:rPr>
      </w:pPr>
    </w:p>
    <w:p w:rsidR="00DC0168" w:rsidRPr="00DC0168" w:rsidRDefault="00DC0168" w:rsidP="00DC0168">
      <w:pPr>
        <w:rPr>
          <w:b/>
          <w:bCs/>
          <w:color w:val="002060"/>
          <w:szCs w:val="36"/>
        </w:rPr>
      </w:pPr>
      <w:r w:rsidRPr="00DC0168">
        <w:rPr>
          <w:b/>
          <w:bCs/>
          <w:color w:val="002060"/>
          <w:szCs w:val="36"/>
        </w:rPr>
        <w:t>TECHNIQUES :</w:t>
      </w: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szCs w:val="36"/>
        </w:rPr>
      </w:pPr>
      <w:r w:rsidRPr="00DC0168">
        <w:rPr>
          <w:b/>
          <w:bCs/>
          <w:i/>
          <w:iCs/>
          <w:szCs w:val="36"/>
        </w:rPr>
        <w:t>Préparation</w:t>
      </w:r>
      <w:r w:rsidRPr="00DC0168">
        <w:rPr>
          <w:szCs w:val="36"/>
        </w:rPr>
        <w:t> : aucune</w:t>
      </w:r>
    </w:p>
    <w:p w:rsidR="00DC0168" w:rsidRPr="00DC0168" w:rsidRDefault="00DC0168" w:rsidP="00DC0168">
      <w:pPr>
        <w:ind w:left="431"/>
        <w:rPr>
          <w:szCs w:val="36"/>
        </w:rPr>
      </w:pP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szCs w:val="36"/>
        </w:rPr>
      </w:pPr>
      <w:r w:rsidRPr="00DC0168">
        <w:rPr>
          <w:b/>
          <w:bCs/>
          <w:i/>
          <w:iCs/>
          <w:szCs w:val="36"/>
        </w:rPr>
        <w:t>Positionnement</w:t>
      </w:r>
      <w:r w:rsidRPr="00DC0168">
        <w:rPr>
          <w:szCs w:val="36"/>
        </w:rPr>
        <w:t xml:space="preserve"> : </w:t>
      </w:r>
    </w:p>
    <w:p w:rsidR="00DC0168" w:rsidRPr="00DC0168" w:rsidRDefault="00DC0168" w:rsidP="00DC0168">
      <w:pPr>
        <w:pStyle w:val="Paragraphedeliste"/>
        <w:numPr>
          <w:ilvl w:val="0"/>
          <w:numId w:val="7"/>
        </w:numPr>
        <w:rPr>
          <w:szCs w:val="36"/>
        </w:rPr>
      </w:pPr>
      <w:r w:rsidRPr="00DC0168">
        <w:rPr>
          <w:szCs w:val="36"/>
        </w:rPr>
        <w:t>Décubitus dorsal, bras au-dessus de la tête</w:t>
      </w:r>
    </w:p>
    <w:p w:rsidR="00DC0168" w:rsidRPr="00DC0168" w:rsidRDefault="00DC0168" w:rsidP="00DC0168">
      <w:pPr>
        <w:pStyle w:val="Paragraphedeliste"/>
        <w:numPr>
          <w:ilvl w:val="0"/>
          <w:numId w:val="7"/>
        </w:numPr>
        <w:rPr>
          <w:szCs w:val="36"/>
        </w:rPr>
      </w:pPr>
      <w:r w:rsidRPr="00DC0168">
        <w:rPr>
          <w:szCs w:val="36"/>
        </w:rPr>
        <w:t xml:space="preserve">En </w:t>
      </w:r>
      <w:proofErr w:type="spellStart"/>
      <w:r w:rsidRPr="00DC0168">
        <w:rPr>
          <w:szCs w:val="36"/>
        </w:rPr>
        <w:t>procubitus</w:t>
      </w:r>
      <w:proofErr w:type="spellEnd"/>
      <w:r w:rsidRPr="00DC0168">
        <w:rPr>
          <w:szCs w:val="36"/>
        </w:rPr>
        <w:t xml:space="preserve"> si anomalies pulmonaires ou pleurales </w:t>
      </w:r>
      <w:proofErr w:type="spellStart"/>
      <w:r w:rsidRPr="00DC0168">
        <w:rPr>
          <w:szCs w:val="36"/>
        </w:rPr>
        <w:t>postérobasales</w:t>
      </w:r>
      <w:proofErr w:type="spellEnd"/>
      <w:r w:rsidRPr="00DC0168">
        <w:rPr>
          <w:szCs w:val="36"/>
        </w:rPr>
        <w:t xml:space="preserve"> dont la nature ne peut être déterminée sur l’acquisition en décubitus</w:t>
      </w:r>
    </w:p>
    <w:p w:rsidR="00DC0168" w:rsidRPr="00DC0168" w:rsidRDefault="00DC0168" w:rsidP="00DC0168">
      <w:pPr>
        <w:pStyle w:val="Paragraphedeliste"/>
        <w:ind w:left="791"/>
        <w:rPr>
          <w:szCs w:val="36"/>
        </w:rPr>
      </w:pP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szCs w:val="36"/>
        </w:rPr>
      </w:pPr>
      <w:r w:rsidRPr="00DC0168">
        <w:rPr>
          <w:b/>
          <w:bCs/>
          <w:i/>
          <w:iCs/>
          <w:szCs w:val="36"/>
        </w:rPr>
        <w:t>Acquisition</w:t>
      </w:r>
      <w:r w:rsidRPr="00DC0168">
        <w:rPr>
          <w:szCs w:val="36"/>
        </w:rPr>
        <w:t> </w:t>
      </w:r>
      <w:r w:rsidRPr="00DC0168">
        <w:rPr>
          <w:b/>
          <w:bCs/>
          <w:i/>
          <w:iCs/>
          <w:szCs w:val="36"/>
        </w:rPr>
        <w:t>en décubitus</w:t>
      </w:r>
      <w:r w:rsidRPr="00DC0168">
        <w:rPr>
          <w:szCs w:val="36"/>
        </w:rPr>
        <w:t xml:space="preserve"> : des apex jusqu’aux culs de sac postérieurs et en apnée après inspiration maximale.</w:t>
      </w:r>
    </w:p>
    <w:p w:rsidR="00DC0168" w:rsidRPr="00DC0168" w:rsidRDefault="00DC0168" w:rsidP="00DC0168">
      <w:pPr>
        <w:pStyle w:val="Paragraphedeliste"/>
        <w:numPr>
          <w:ilvl w:val="0"/>
          <w:numId w:val="2"/>
        </w:numPr>
        <w:rPr>
          <w:szCs w:val="36"/>
        </w:rPr>
      </w:pPr>
      <w:r w:rsidRPr="00DC0168">
        <w:rPr>
          <w:i/>
          <w:iCs/>
          <w:szCs w:val="36"/>
        </w:rPr>
        <w:t>Paramètres d’acquisition</w:t>
      </w:r>
      <w:r w:rsidRPr="00DC0168">
        <w:rPr>
          <w:szCs w:val="36"/>
        </w:rPr>
        <w:t> :</w:t>
      </w:r>
    </w:p>
    <w:p w:rsidR="00DC0168" w:rsidRPr="00DC0168" w:rsidRDefault="00DC0168" w:rsidP="00DC0168">
      <w:pPr>
        <w:pStyle w:val="Paragraphedeliste"/>
        <w:numPr>
          <w:ilvl w:val="0"/>
          <w:numId w:val="6"/>
        </w:numPr>
        <w:rPr>
          <w:szCs w:val="36"/>
        </w:rPr>
      </w:pPr>
      <w:r w:rsidRPr="00DC0168">
        <w:rPr>
          <w:szCs w:val="36"/>
        </w:rPr>
        <w:t>kV : 120 (80-100 pour sujets jeunes, minces ou dans le cadre du suivi de la maladie)</w:t>
      </w:r>
    </w:p>
    <w:p w:rsidR="00DC0168" w:rsidRPr="00DC0168" w:rsidRDefault="00DC0168" w:rsidP="00DC0168">
      <w:pPr>
        <w:pStyle w:val="Paragraphedeliste"/>
        <w:numPr>
          <w:ilvl w:val="0"/>
          <w:numId w:val="6"/>
        </w:numPr>
        <w:rPr>
          <w:szCs w:val="36"/>
        </w:rPr>
      </w:pPr>
      <w:r w:rsidRPr="00DC0168">
        <w:rPr>
          <w:szCs w:val="36"/>
        </w:rPr>
        <w:t>mA : modulation automatique de dose</w:t>
      </w:r>
    </w:p>
    <w:p w:rsidR="00DC0168" w:rsidRPr="00DC0168" w:rsidRDefault="00DC0168" w:rsidP="00DC0168">
      <w:pPr>
        <w:pStyle w:val="Paragraphedeliste"/>
        <w:numPr>
          <w:ilvl w:val="0"/>
          <w:numId w:val="6"/>
        </w:numPr>
        <w:rPr>
          <w:szCs w:val="36"/>
        </w:rPr>
      </w:pPr>
      <w:proofErr w:type="spellStart"/>
      <w:r w:rsidRPr="00DC0168">
        <w:rPr>
          <w:szCs w:val="36"/>
        </w:rPr>
        <w:t>mAs</w:t>
      </w:r>
      <w:proofErr w:type="spellEnd"/>
      <w:r w:rsidRPr="00DC0168">
        <w:rPr>
          <w:szCs w:val="36"/>
        </w:rPr>
        <w:t> : quantité suffisante pour rapport signal/bruit satisfaisant (respecter NRD)</w:t>
      </w:r>
    </w:p>
    <w:p w:rsidR="00DC0168" w:rsidRPr="00DC0168" w:rsidRDefault="00DC0168" w:rsidP="00DC0168">
      <w:pPr>
        <w:pStyle w:val="Paragraphedeliste"/>
        <w:numPr>
          <w:ilvl w:val="0"/>
          <w:numId w:val="6"/>
        </w:numPr>
        <w:rPr>
          <w:szCs w:val="36"/>
        </w:rPr>
      </w:pPr>
      <w:r w:rsidRPr="00DC0168">
        <w:rPr>
          <w:szCs w:val="36"/>
        </w:rPr>
        <w:t>Champ de vue : adapté au patient</w:t>
      </w:r>
    </w:p>
    <w:p w:rsidR="00DC0168" w:rsidRPr="00DC0168" w:rsidRDefault="00DC0168" w:rsidP="00DC0168">
      <w:pPr>
        <w:pStyle w:val="Paragraphedeliste"/>
        <w:numPr>
          <w:ilvl w:val="0"/>
          <w:numId w:val="6"/>
        </w:numPr>
        <w:rPr>
          <w:szCs w:val="36"/>
        </w:rPr>
      </w:pPr>
      <w:r w:rsidRPr="00DC0168">
        <w:rPr>
          <w:szCs w:val="36"/>
        </w:rPr>
        <w:t>Épaisseur de coupe : millimétrique ou infra millimétrique</w:t>
      </w:r>
    </w:p>
    <w:p w:rsidR="00DC0168" w:rsidRPr="00DC0168" w:rsidRDefault="00DC0168" w:rsidP="00DC0168">
      <w:pPr>
        <w:pStyle w:val="Paragraphedeliste"/>
        <w:numPr>
          <w:ilvl w:val="0"/>
          <w:numId w:val="2"/>
        </w:numPr>
        <w:rPr>
          <w:szCs w:val="36"/>
        </w:rPr>
      </w:pPr>
      <w:r w:rsidRPr="00DC0168">
        <w:rPr>
          <w:i/>
          <w:iCs/>
          <w:szCs w:val="36"/>
        </w:rPr>
        <w:t>Paramètres de reconstruction</w:t>
      </w:r>
      <w:r w:rsidRPr="00DC0168">
        <w:rPr>
          <w:szCs w:val="36"/>
        </w:rPr>
        <w:t> :</w:t>
      </w:r>
    </w:p>
    <w:p w:rsidR="00DC0168" w:rsidRPr="00DC0168" w:rsidRDefault="00DC0168" w:rsidP="00DC0168">
      <w:pPr>
        <w:pStyle w:val="Paragraphedeliste"/>
        <w:numPr>
          <w:ilvl w:val="0"/>
          <w:numId w:val="6"/>
        </w:numPr>
        <w:rPr>
          <w:szCs w:val="36"/>
        </w:rPr>
      </w:pPr>
      <w:proofErr w:type="spellStart"/>
      <w:r w:rsidRPr="00DC0168">
        <w:rPr>
          <w:szCs w:val="36"/>
        </w:rPr>
        <w:t>Recon</w:t>
      </w:r>
      <w:proofErr w:type="spellEnd"/>
      <w:r w:rsidRPr="00DC0168">
        <w:rPr>
          <w:szCs w:val="36"/>
        </w:rPr>
        <w:t>. parenchymateuse : filtre spatial dur, fenêtre parenchymateuse, épaisseur coupe &lt; mm</w:t>
      </w:r>
    </w:p>
    <w:p w:rsidR="00DC0168" w:rsidRPr="00DC0168" w:rsidRDefault="00DC0168" w:rsidP="00DC0168">
      <w:pPr>
        <w:pStyle w:val="Paragraphedeliste"/>
        <w:numPr>
          <w:ilvl w:val="0"/>
          <w:numId w:val="6"/>
        </w:numPr>
        <w:rPr>
          <w:szCs w:val="36"/>
        </w:rPr>
      </w:pPr>
      <w:proofErr w:type="spellStart"/>
      <w:r w:rsidRPr="00DC0168">
        <w:rPr>
          <w:szCs w:val="36"/>
        </w:rPr>
        <w:t>Recon</w:t>
      </w:r>
      <w:proofErr w:type="spellEnd"/>
      <w:r w:rsidRPr="00DC0168">
        <w:rPr>
          <w:szCs w:val="36"/>
        </w:rPr>
        <w:t xml:space="preserve">. </w:t>
      </w:r>
      <w:proofErr w:type="spellStart"/>
      <w:r w:rsidRPr="00DC0168">
        <w:rPr>
          <w:szCs w:val="36"/>
        </w:rPr>
        <w:t>médiastinale</w:t>
      </w:r>
      <w:proofErr w:type="spellEnd"/>
      <w:r w:rsidRPr="00DC0168">
        <w:rPr>
          <w:szCs w:val="36"/>
        </w:rPr>
        <w:t xml:space="preserve"> : filtre spatial mou, fenêtre </w:t>
      </w:r>
      <w:proofErr w:type="spellStart"/>
      <w:r w:rsidRPr="00DC0168">
        <w:rPr>
          <w:szCs w:val="36"/>
        </w:rPr>
        <w:t>médiastinale</w:t>
      </w:r>
      <w:proofErr w:type="spellEnd"/>
      <w:r w:rsidRPr="00DC0168">
        <w:rPr>
          <w:szCs w:val="36"/>
        </w:rPr>
        <w:t>, épaisseur coupe voisine du mm</w:t>
      </w:r>
    </w:p>
    <w:p w:rsidR="00DC0168" w:rsidRPr="00DC0168" w:rsidRDefault="00DC0168" w:rsidP="00DC0168">
      <w:pPr>
        <w:pStyle w:val="Paragraphedeliste"/>
        <w:numPr>
          <w:ilvl w:val="0"/>
          <w:numId w:val="6"/>
        </w:numPr>
        <w:rPr>
          <w:szCs w:val="36"/>
        </w:rPr>
      </w:pPr>
      <w:r w:rsidRPr="00DC0168">
        <w:rPr>
          <w:szCs w:val="36"/>
        </w:rPr>
        <w:t>Reformation en MIP</w:t>
      </w:r>
    </w:p>
    <w:p w:rsidR="00DC0168" w:rsidRPr="00DC0168" w:rsidRDefault="00DC0168" w:rsidP="00DC0168">
      <w:pPr>
        <w:pStyle w:val="Paragraphedeliste"/>
        <w:ind w:left="2138"/>
        <w:rPr>
          <w:szCs w:val="36"/>
        </w:rPr>
      </w:pP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szCs w:val="36"/>
        </w:rPr>
      </w:pPr>
      <w:r w:rsidRPr="00DC0168">
        <w:rPr>
          <w:b/>
          <w:bCs/>
          <w:i/>
          <w:iCs/>
          <w:szCs w:val="36"/>
        </w:rPr>
        <w:t>Acquisition</w:t>
      </w:r>
      <w:r w:rsidRPr="00DC0168">
        <w:rPr>
          <w:szCs w:val="36"/>
        </w:rPr>
        <w:t> </w:t>
      </w:r>
      <w:r w:rsidRPr="00DC0168">
        <w:rPr>
          <w:b/>
          <w:bCs/>
          <w:i/>
          <w:iCs/>
          <w:szCs w:val="36"/>
        </w:rPr>
        <w:t xml:space="preserve">en </w:t>
      </w:r>
      <w:proofErr w:type="spellStart"/>
      <w:r w:rsidRPr="00DC0168">
        <w:rPr>
          <w:b/>
          <w:bCs/>
          <w:i/>
          <w:iCs/>
          <w:szCs w:val="36"/>
        </w:rPr>
        <w:t>procubitus</w:t>
      </w:r>
      <w:proofErr w:type="spellEnd"/>
      <w:r w:rsidRPr="00DC0168">
        <w:rPr>
          <w:szCs w:val="36"/>
        </w:rPr>
        <w:t xml:space="preserve"> : courte hélice de la carène aux culs de sacs pleuraux en diminuant la dose</w:t>
      </w:r>
    </w:p>
    <w:p w:rsidR="00DC0168" w:rsidRPr="00DC0168" w:rsidRDefault="00DC0168" w:rsidP="00DC0168">
      <w:pPr>
        <w:rPr>
          <w:szCs w:val="36"/>
        </w:rPr>
      </w:pPr>
    </w:p>
    <w:p w:rsidR="00DC0168" w:rsidRPr="00DC0168" w:rsidRDefault="00DC0168" w:rsidP="00DC0168">
      <w:pPr>
        <w:rPr>
          <w:b/>
          <w:bCs/>
          <w:color w:val="002060"/>
          <w:szCs w:val="36"/>
        </w:rPr>
      </w:pPr>
      <w:r w:rsidRPr="00DC0168">
        <w:rPr>
          <w:b/>
          <w:bCs/>
          <w:color w:val="002060"/>
          <w:szCs w:val="36"/>
        </w:rPr>
        <w:t>COMPTE RENDU :</w:t>
      </w: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b/>
          <w:bCs/>
          <w:color w:val="002060"/>
          <w:szCs w:val="36"/>
        </w:rPr>
      </w:pPr>
      <w:r w:rsidRPr="00DC0168">
        <w:rPr>
          <w:bCs/>
          <w:color w:val="000000" w:themeColor="text1"/>
          <w:szCs w:val="36"/>
        </w:rPr>
        <w:t>Rechercher une atteinte pleurale : plaques pleurales, épaississements de la plèvre viscérale, images en « pieds de corneille », atélectasies par enroulement</w:t>
      </w: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b/>
          <w:bCs/>
          <w:color w:val="002060"/>
          <w:szCs w:val="36"/>
        </w:rPr>
      </w:pPr>
      <w:r w:rsidRPr="00DC0168">
        <w:rPr>
          <w:bCs/>
          <w:color w:val="000000" w:themeColor="text1"/>
          <w:szCs w:val="36"/>
        </w:rPr>
        <w:t>Rechercher une atteinte parenchymateuse (asbestose)</w:t>
      </w: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b/>
          <w:bCs/>
          <w:color w:val="002060"/>
          <w:szCs w:val="36"/>
        </w:rPr>
      </w:pPr>
      <w:r w:rsidRPr="00DC0168">
        <w:rPr>
          <w:bCs/>
          <w:color w:val="000000" w:themeColor="text1"/>
          <w:szCs w:val="36"/>
        </w:rPr>
        <w:t>Rechercher un nodule (reconstruction en MIP et/ou utilisation d’un CAD)</w:t>
      </w:r>
    </w:p>
    <w:p w:rsidR="00DC0168" w:rsidRPr="00DC0168" w:rsidRDefault="00DC0168" w:rsidP="00DC0168">
      <w:pPr>
        <w:pStyle w:val="Paragraphedeliste"/>
        <w:numPr>
          <w:ilvl w:val="0"/>
          <w:numId w:val="1"/>
        </w:numPr>
        <w:rPr>
          <w:b/>
          <w:bCs/>
          <w:color w:val="002060"/>
          <w:szCs w:val="36"/>
        </w:rPr>
      </w:pPr>
      <w:r w:rsidRPr="00DC0168">
        <w:rPr>
          <w:bCs/>
          <w:color w:val="000000" w:themeColor="text1"/>
          <w:szCs w:val="36"/>
        </w:rPr>
        <w:t>Éliminer une complication tumorale</w:t>
      </w:r>
    </w:p>
    <w:p w:rsidR="00DC0168" w:rsidRPr="00DC0168" w:rsidRDefault="00DC0168" w:rsidP="00DC0168">
      <w:pPr>
        <w:rPr>
          <w:rFonts w:ascii="Garamond" w:hAnsi="Garamond"/>
          <w:b/>
          <w:color w:val="005493"/>
          <w:sz w:val="28"/>
        </w:rPr>
      </w:pPr>
    </w:p>
    <w:p w:rsidR="00DC0168" w:rsidRPr="00DC0168" w:rsidRDefault="00DC0168" w:rsidP="00DC0168">
      <w:pPr>
        <w:pStyle w:val="Paragraphedeliste"/>
        <w:ind w:left="360"/>
        <w:rPr>
          <w:szCs w:val="36"/>
        </w:rPr>
      </w:pPr>
    </w:p>
    <w:p w:rsidR="00FF1608" w:rsidRPr="00DC0168" w:rsidRDefault="00FF1608" w:rsidP="00DC0168">
      <w:pPr>
        <w:rPr>
          <w:b/>
          <w:color w:val="005493"/>
          <w:sz w:val="18"/>
        </w:rPr>
      </w:pPr>
      <w:bookmarkStart w:id="0" w:name="_GoBack"/>
      <w:bookmarkEnd w:id="0"/>
    </w:p>
    <w:sectPr w:rsidR="00FF1608" w:rsidRPr="00DC0168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95" w:rsidRDefault="003A6695" w:rsidP="00631563">
      <w:r>
        <w:separator/>
      </w:r>
    </w:p>
  </w:endnote>
  <w:endnote w:type="continuationSeparator" w:id="0">
    <w:p w:rsidR="003A6695" w:rsidRDefault="003A6695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64D61C4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95" w:rsidRDefault="003A6695" w:rsidP="00631563">
      <w:r>
        <w:separator/>
      </w:r>
    </w:p>
  </w:footnote>
  <w:footnote w:type="continuationSeparator" w:id="0">
    <w:p w:rsidR="003A6695" w:rsidRDefault="003A6695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FC6FAC9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19B664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B4138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DDDA3" wp14:editId="2D6C8CAF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02815CA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7293"/>
    <w:rsid w:val="00027F22"/>
    <w:rsid w:val="00057179"/>
    <w:rsid w:val="000836ED"/>
    <w:rsid w:val="000E175B"/>
    <w:rsid w:val="00102FE2"/>
    <w:rsid w:val="00116D10"/>
    <w:rsid w:val="00145BE8"/>
    <w:rsid w:val="001603F7"/>
    <w:rsid w:val="0017691D"/>
    <w:rsid w:val="00186BB3"/>
    <w:rsid w:val="001A6902"/>
    <w:rsid w:val="001A7241"/>
    <w:rsid w:val="001E7D47"/>
    <w:rsid w:val="002451A4"/>
    <w:rsid w:val="0024666E"/>
    <w:rsid w:val="002667B3"/>
    <w:rsid w:val="00283FC0"/>
    <w:rsid w:val="00295DD5"/>
    <w:rsid w:val="002A7272"/>
    <w:rsid w:val="002F380D"/>
    <w:rsid w:val="003054A0"/>
    <w:rsid w:val="0035059C"/>
    <w:rsid w:val="00391D6E"/>
    <w:rsid w:val="003A6695"/>
    <w:rsid w:val="003C6774"/>
    <w:rsid w:val="003C7C30"/>
    <w:rsid w:val="003F679B"/>
    <w:rsid w:val="00415AC0"/>
    <w:rsid w:val="004248F2"/>
    <w:rsid w:val="00457CB4"/>
    <w:rsid w:val="00464533"/>
    <w:rsid w:val="00494B61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64D76"/>
    <w:rsid w:val="00766889"/>
    <w:rsid w:val="007777F8"/>
    <w:rsid w:val="007A2B08"/>
    <w:rsid w:val="007A6B01"/>
    <w:rsid w:val="007C1908"/>
    <w:rsid w:val="007D4A87"/>
    <w:rsid w:val="008267DA"/>
    <w:rsid w:val="00827A6E"/>
    <w:rsid w:val="00830CEA"/>
    <w:rsid w:val="00835774"/>
    <w:rsid w:val="0083701A"/>
    <w:rsid w:val="00846B84"/>
    <w:rsid w:val="008515B4"/>
    <w:rsid w:val="00855A02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1B10"/>
    <w:rsid w:val="009C6616"/>
    <w:rsid w:val="00A129C6"/>
    <w:rsid w:val="00A3730D"/>
    <w:rsid w:val="00A5174A"/>
    <w:rsid w:val="00A743E2"/>
    <w:rsid w:val="00AC5153"/>
    <w:rsid w:val="00AE41E7"/>
    <w:rsid w:val="00AE6C9F"/>
    <w:rsid w:val="00B02DA6"/>
    <w:rsid w:val="00B811CE"/>
    <w:rsid w:val="00C15357"/>
    <w:rsid w:val="00C23BBD"/>
    <w:rsid w:val="00C35CA8"/>
    <w:rsid w:val="00C40D03"/>
    <w:rsid w:val="00C474AC"/>
    <w:rsid w:val="00CA1F6E"/>
    <w:rsid w:val="00CB1031"/>
    <w:rsid w:val="00CC0CAF"/>
    <w:rsid w:val="00CF3F15"/>
    <w:rsid w:val="00CF72BB"/>
    <w:rsid w:val="00D05FBD"/>
    <w:rsid w:val="00D14FE3"/>
    <w:rsid w:val="00DA0FF2"/>
    <w:rsid w:val="00DC0168"/>
    <w:rsid w:val="00DC5F27"/>
    <w:rsid w:val="00E21462"/>
    <w:rsid w:val="00E251FF"/>
    <w:rsid w:val="00E32D87"/>
    <w:rsid w:val="00E429E2"/>
    <w:rsid w:val="00E45486"/>
    <w:rsid w:val="00E81D36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3</cp:revision>
  <dcterms:created xsi:type="dcterms:W3CDTF">2021-04-17T09:38:00Z</dcterms:created>
  <dcterms:modified xsi:type="dcterms:W3CDTF">2021-04-21T15:22:00Z</dcterms:modified>
</cp:coreProperties>
</file>